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Arial Black" w:hAnsi="Arial Black"/>
          <w:color w:val="059669"/>
          <w:sz w:val="48"/>
        </w:rPr>
        <w:t>TERRACHAIN (LANDBLOCK)</w:t>
      </w:r>
    </w:p>
    <w:p>
      <w:pPr>
        <w:spacing w:before="40" w:after="320"/>
      </w:pPr>
      <w:r>
        <w:rPr>
          <w:rFonts w:ascii="Calibri" w:hAnsi="Calibri"/>
          <w:b/>
          <w:color w:val="475569"/>
          <w:sz w:val="26"/>
        </w:rPr>
        <w:t>In-Depth System Architecture, Cryptographic Verification, Smart Contract Engineering &amp; Technical Operational Manual</w:t>
      </w:r>
    </w:p>
    <w:tbl>
      <w:tblPr>
        <w:tblW w:type="auto" w:w="0"/>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pPr>
              <w:spacing w:before="60" w:after="60"/>
            </w:pPr>
            <w:r>
              <w:rPr>
                <w:b/>
                <w:sz w:val="19"/>
              </w:rPr>
              <w:t>System Name</w:t>
            </w:r>
          </w:p>
        </w:tc>
        <w:tc>
          <w:tcPr>
            <w:tcW w:type="dxa" w:w="6624"/>
            <w:shd w:fill="FFFFFF"/>
            <w:tcMar>
              <w:top w:w="60" w:type="dxa"/>
              <w:bottom w:w="60" w:type="dxa"/>
              <w:left w:w="100" w:type="dxa"/>
              <w:right w:w="100" w:type="dxa"/>
            </w:tcMar>
          </w:tcPr>
          <w:p>
            <w:pPr>
              <w:spacing w:before="60" w:after="60"/>
            </w:pPr>
            <w:r>
              <w:rPr>
                <w:sz w:val="19"/>
              </w:rPr>
              <w:t>TerraChain — Decentralized Land Title &amp; Real Estate Escrow Registry</w:t>
            </w:r>
          </w:p>
        </w:tc>
      </w:tr>
      <w:tr>
        <w:tc>
          <w:tcPr>
            <w:tcW w:type="dxa" w:w="3168"/>
            <w:shd w:fill="F1F5F9"/>
            <w:tcMar>
              <w:top w:w="60" w:type="dxa"/>
              <w:bottom w:w="60" w:type="dxa"/>
              <w:left w:w="100" w:type="dxa"/>
              <w:right w:w="100" w:type="dxa"/>
            </w:tcMar>
          </w:tcPr>
          <w:p>
            <w:pPr>
              <w:spacing w:before="60" w:after="60"/>
            </w:pPr>
            <w:r>
              <w:rPr>
                <w:b/>
                <w:sz w:val="19"/>
              </w:rPr>
              <w:t>Smart Contract Engine</w:t>
            </w:r>
          </w:p>
        </w:tc>
        <w:tc>
          <w:tcPr>
            <w:tcW w:type="dxa" w:w="6624"/>
            <w:shd w:fill="FFFFFF"/>
            <w:tcMar>
              <w:top w:w="60" w:type="dxa"/>
              <w:bottom w:w="60" w:type="dxa"/>
              <w:left w:w="100" w:type="dxa"/>
              <w:right w:w="100" w:type="dxa"/>
            </w:tcMar>
          </w:tcPr>
          <w:p>
            <w:pPr>
              <w:spacing w:before="60" w:after="60"/>
            </w:pPr>
            <w:r>
              <w:rPr>
                <w:sz w:val="19"/>
              </w:rPr>
              <w:t>Solidity v0.8.20, Hardhat Framework, OpenZeppelin ReentrancyGuard</w:t>
            </w:r>
          </w:p>
        </w:tc>
      </w:tr>
      <w:tr>
        <w:tc>
          <w:tcPr>
            <w:tcW w:type="dxa" w:w="3168"/>
            <w:shd w:fill="F1F5F9"/>
            <w:tcMar>
              <w:top w:w="60" w:type="dxa"/>
              <w:bottom w:w="60" w:type="dxa"/>
              <w:left w:w="100" w:type="dxa"/>
              <w:right w:w="100" w:type="dxa"/>
            </w:tcMar>
          </w:tcPr>
          <w:p>
            <w:pPr>
              <w:spacing w:before="60" w:after="60"/>
            </w:pPr>
            <w:r>
              <w:rPr>
                <w:b/>
                <w:sz w:val="19"/>
              </w:rPr>
              <w:t>Storage Subsystem</w:t>
            </w:r>
          </w:p>
        </w:tc>
        <w:tc>
          <w:tcPr>
            <w:tcW w:type="dxa" w:w="6624"/>
            <w:shd w:fill="FFFFFF"/>
            <w:tcMar>
              <w:top w:w="60" w:type="dxa"/>
              <w:bottom w:w="60" w:type="dxa"/>
              <w:left w:w="100" w:type="dxa"/>
              <w:right w:w="100" w:type="dxa"/>
            </w:tcMar>
          </w:tcPr>
          <w:p>
            <w:pPr>
              <w:spacing w:before="60" w:after="60"/>
            </w:pPr>
            <w:r>
              <w:rPr>
                <w:sz w:val="19"/>
              </w:rPr>
              <w:t>Pinata IPFS (InterPlanetary File System) REST API v0/v1 (CID-pinned)</w:t>
            </w:r>
          </w:p>
        </w:tc>
      </w:tr>
      <w:tr>
        <w:tc>
          <w:tcPr>
            <w:tcW w:type="dxa" w:w="3168"/>
            <w:shd w:fill="F1F5F9"/>
            <w:tcMar>
              <w:top w:w="60" w:type="dxa"/>
              <w:bottom w:w="60" w:type="dxa"/>
              <w:left w:w="100" w:type="dxa"/>
              <w:right w:w="100" w:type="dxa"/>
            </w:tcMar>
          </w:tcPr>
          <w:p>
            <w:pPr>
              <w:spacing w:before="60" w:after="60"/>
            </w:pPr>
            <w:r>
              <w:rPr>
                <w:b/>
                <w:sz w:val="19"/>
              </w:rPr>
              <w:t>Frontend &amp; Web3 Stack</w:t>
            </w:r>
          </w:p>
        </w:tc>
        <w:tc>
          <w:tcPr>
            <w:tcW w:type="dxa" w:w="6624"/>
            <w:shd w:fill="FFFFFF"/>
            <w:tcMar>
              <w:top w:w="60" w:type="dxa"/>
              <w:bottom w:w="60" w:type="dxa"/>
              <w:left w:w="100" w:type="dxa"/>
              <w:right w:w="100" w:type="dxa"/>
            </w:tcMar>
          </w:tcPr>
          <w:p>
            <w:pPr>
              <w:spacing w:before="60" w:after="60"/>
            </w:pPr>
            <w:r>
              <w:rPr>
                <w:sz w:val="19"/>
              </w:rPr>
              <w:t>React 18, Vite, Tailwind CSS, Ethers.js v6, MetaMask (EIP-1193)</w:t>
            </w:r>
          </w:p>
        </w:tc>
      </w:tr>
      <w:tr>
        <w:tc>
          <w:tcPr>
            <w:tcW w:type="dxa" w:w="3168"/>
            <w:shd w:fill="F1F5F9"/>
            <w:tcMar>
              <w:top w:w="60" w:type="dxa"/>
              <w:bottom w:w="60" w:type="dxa"/>
              <w:left w:w="100" w:type="dxa"/>
              <w:right w:w="100" w:type="dxa"/>
            </w:tcMar>
          </w:tcPr>
          <w:p>
            <w:pPr>
              <w:spacing w:before="60" w:after="60"/>
            </w:pPr>
            <w:r>
              <w:rPr>
                <w:b/>
                <w:sz w:val="19"/>
              </w:rPr>
              <w:t>Consensus &amp; Chains</w:t>
            </w:r>
          </w:p>
        </w:tc>
        <w:tc>
          <w:tcPr>
            <w:tcW w:type="dxa" w:w="6624"/>
            <w:shd w:fill="FFFFFF"/>
            <w:tcMar>
              <w:top w:w="60" w:type="dxa"/>
              <w:bottom w:w="60" w:type="dxa"/>
              <w:left w:w="100" w:type="dxa"/>
              <w:right w:w="100" w:type="dxa"/>
            </w:tcMar>
          </w:tcPr>
          <w:p>
            <w:pPr>
              <w:spacing w:before="60" w:after="60"/>
            </w:pPr>
            <w:r>
              <w:rPr>
                <w:sz w:val="19"/>
              </w:rPr>
              <w:t>EVM Compatible — Localhost (Chain ID: 31337), Sepolia (Chain ID: 11155111)</w:t>
            </w:r>
          </w:p>
        </w:tc>
      </w:tr>
      <w:tr>
        <w:tc>
          <w:tcPr>
            <w:tcW w:type="dxa" w:w="3168"/>
            <w:shd w:fill="F1F5F9"/>
            <w:tcMar>
              <w:top w:w="60" w:type="dxa"/>
              <w:bottom w:w="60" w:type="dxa"/>
              <w:left w:w="100" w:type="dxa"/>
              <w:right w:w="100" w:type="dxa"/>
            </w:tcMar>
          </w:tcPr>
          <w:p>
            <w:pPr>
              <w:spacing w:before="60" w:after="60"/>
            </w:pPr>
            <w:r>
              <w:rPr>
                <w:b/>
                <w:sz w:val="19"/>
              </w:rPr>
              <w:t>Validation &amp; Testing</w:t>
            </w:r>
          </w:p>
        </w:tc>
        <w:tc>
          <w:tcPr>
            <w:tcW w:type="dxa" w:w="6624"/>
            <w:shd w:fill="FFFFFF"/>
            <w:tcMar>
              <w:top w:w="60" w:type="dxa"/>
              <w:bottom w:w="60" w:type="dxa"/>
              <w:left w:w="100" w:type="dxa"/>
              <w:right w:w="100" w:type="dxa"/>
            </w:tcMar>
          </w:tcPr>
          <w:p>
            <w:pPr>
              <w:spacing w:before="60" w:after="60"/>
            </w:pPr>
            <w:r>
              <w:rPr>
                <w:sz w:val="19"/>
              </w:rPr>
              <w:t>21/21 Hardhat Unit Tests Passing (100% assertions, atomic balances verified)</w:t>
            </w:r>
          </w:p>
        </w:tc>
      </w:tr>
      <w:tr>
        <w:tc>
          <w:tcPr>
            <w:tcW w:type="dxa" w:w="3168"/>
            <w:shd w:fill="F1F5F9"/>
            <w:tcMar>
              <w:top w:w="60" w:type="dxa"/>
              <w:bottom w:w="60" w:type="dxa"/>
              <w:left w:w="100" w:type="dxa"/>
              <w:right w:w="100" w:type="dxa"/>
            </w:tcMar>
          </w:tcPr>
          <w:p>
            <w:pPr>
              <w:spacing w:before="60" w:after="60"/>
            </w:pPr>
            <w:r>
              <w:rPr>
                <w:b/>
                <w:sz w:val="19"/>
              </w:rPr>
              <w:t>Core Security Model</w:t>
            </w:r>
          </w:p>
        </w:tc>
        <w:tc>
          <w:tcPr>
            <w:tcW w:type="dxa" w:w="6624"/>
            <w:shd w:fill="FFFFFF"/>
            <w:tcMar>
              <w:top w:w="60" w:type="dxa"/>
              <w:bottom w:w="60" w:type="dxa"/>
              <w:left w:w="100" w:type="dxa"/>
              <w:right w:w="100" w:type="dxa"/>
            </w:tcMar>
          </w:tcPr>
          <w:p>
            <w:pPr>
              <w:spacing w:before="60" w:after="60"/>
            </w:pPr>
            <w:r>
              <w:rPr>
                <w:sz w:val="19"/>
              </w:rPr>
              <w:t>Two-Tier Inspector Gatekeeper, Checks-Effects-Interactions, Custom Errors</w:t>
            </w:r>
          </w:p>
        </w:tc>
      </w:tr>
    </w:tbl>
    <w:p>
      <w:pPr>
        <w:spacing w:after="240"/>
      </w:pPr>
    </w:p>
    <w:p>
      <w:pPr>
        <w:keepNext/>
        <w:spacing w:before="400" w:after="120"/>
      </w:pPr>
      <w:r>
        <w:rPr>
          <w:rFonts w:ascii="Arial" w:hAnsi="Arial"/>
          <w:b/>
          <w:color w:val="059669"/>
          <w:sz w:val="30"/>
        </w:rPr>
        <w:t>1. Executive Summary &amp; Problem Formulation</w:t>
      </w:r>
    </w:p>
    <w:p>
      <w:pPr>
        <w:spacing w:before="0" w:after="120" w:line="276" w:lineRule="auto"/>
      </w:pPr>
      <w:r>
        <w:rPr>
          <w:rFonts w:ascii="Calibri" w:hAnsi="Calibri"/>
          <w:color w:val="1E293B"/>
          <w:sz w:val="22"/>
        </w:rPr>
        <w:t>Land administration forms the bedrock of real estate capital markets, municipal urban planning, and sovereign property law. However, property titling across the world remains one of the most corrupt, fragmented, and litigious domains in public governance. Studies conducted by international economic institutes and the World Bank reveal that in developing jurisdictions, real property disputes account for over 60% to 70% of all ongoing civil court backlogs.</w:t>
      </w:r>
    </w:p>
    <w:p>
      <w:pPr>
        <w:spacing w:before="0" w:after="120" w:line="276" w:lineRule="auto"/>
      </w:pPr>
      <w:r>
        <w:rPr>
          <w:rFonts w:ascii="Calibri" w:hAnsi="Calibri"/>
          <w:color w:val="1E293B"/>
          <w:sz w:val="22"/>
        </w:rPr>
        <w:t>The fundamental vulnerabilities of traditional centralized registries stem from architectural defects:</w:t>
      </w:r>
    </w:p>
    <w:p>
      <w:pPr>
        <w:pStyle w:val="ListBullet"/>
        <w:spacing w:before="20" w:after="60" w:line="276" w:lineRule="auto"/>
      </w:pPr>
      <w:r>
        <w:rPr>
          <w:rFonts w:ascii="Calibri" w:hAnsi="Calibri"/>
          <w:b/>
          <w:color w:val="0F172A"/>
          <w:sz w:val="22"/>
        </w:rPr>
        <w:t xml:space="preserve">1. Double Selling &amp; Fraudulent Conveyance: </w:t>
      </w:r>
      <w:r>
        <w:rPr>
          <w:rFonts w:ascii="Calibri" w:hAnsi="Calibri"/>
          <w:b w:val="0"/>
          <w:color w:val="1E293B"/>
          <w:sz w:val="22"/>
        </w:rPr>
        <w:t>Because property deed registration in conventional municipal offices requires days or weeks to reflect across departmental archives, unscrupulous sellers exploit this latency window to execute multiple concurrent sale deeds with different buyers for the exact same plot.</w:t>
      </w:r>
    </w:p>
    <w:p>
      <w:pPr>
        <w:pStyle w:val="ListBullet"/>
        <w:spacing w:before="20" w:after="60" w:line="276" w:lineRule="auto"/>
      </w:pPr>
      <w:r>
        <w:rPr>
          <w:rFonts w:ascii="Calibri" w:hAnsi="Calibri"/>
          <w:b/>
          <w:color w:val="0F172A"/>
          <w:sz w:val="22"/>
        </w:rPr>
        <w:t xml:space="preserve">2. Centralized Database Vulnerabilities: </w:t>
      </w:r>
      <w:r>
        <w:rPr>
          <w:rFonts w:ascii="Calibri" w:hAnsi="Calibri"/>
          <w:b w:val="0"/>
          <w:color w:val="1E293B"/>
          <w:sz w:val="22"/>
        </w:rPr>
        <w:t>Standard computerized municipal systems rely on relational databases (e.g., MySQL, Oracle, PostgreSQL). In such architectures, any administrator holding root credentials, rogue municipal operator, or compromised IT vendor can execute direct SQL UPDATE or DELETE commands, altering cadastral records without producing a public, immutable cryptographic audit trail.</w:t>
      </w:r>
    </w:p>
    <w:p>
      <w:pPr>
        <w:pStyle w:val="ListBullet"/>
        <w:spacing w:before="20" w:after="60" w:line="276" w:lineRule="auto"/>
      </w:pPr>
      <w:r>
        <w:rPr>
          <w:rFonts w:ascii="Calibri" w:hAnsi="Calibri"/>
          <w:b/>
          <w:color w:val="0F172A"/>
          <w:sz w:val="22"/>
        </w:rPr>
        <w:t xml:space="preserve">3. Physical Record Decay &amp; Destruction: </w:t>
      </w:r>
      <w:r>
        <w:rPr>
          <w:rFonts w:ascii="Calibri" w:hAnsi="Calibri"/>
          <w:b w:val="0"/>
          <w:color w:val="1E293B"/>
          <w:sz w:val="22"/>
        </w:rPr>
        <w:t>Paper-based deeds, cadastral survey maps, and revenue logs stored in physical record rooms remain susceptible to insect destruction, fire incidents, flooding, and deliberate destruction during political or social upheavals.</w:t>
      </w:r>
    </w:p>
    <w:p>
      <w:pPr>
        <w:pStyle w:val="ListBullet"/>
        <w:spacing w:before="20" w:after="60" w:line="276" w:lineRule="auto"/>
      </w:pPr>
      <w:r>
        <w:rPr>
          <w:rFonts w:ascii="Calibri" w:hAnsi="Calibri"/>
          <w:b/>
          <w:color w:val="0F172A"/>
          <w:sz w:val="22"/>
        </w:rPr>
        <w:t xml:space="preserve">4. Prohibitive Intermediary Overhead: </w:t>
      </w:r>
      <w:r>
        <w:rPr>
          <w:rFonts w:ascii="Calibri" w:hAnsi="Calibri"/>
          <w:b w:val="0"/>
          <w:color w:val="1E293B"/>
          <w:sz w:val="22"/>
        </w:rPr>
        <w:t>Prospective buyers must pay exorbitant title search fees to private agents, attorneys, and notarization brokers, enduring weeks of bureaucratic delay to verify historical chains of title.</w:t>
      </w:r>
    </w:p>
    <w:tbl>
      <w:tblPr>
        <w:tblW w:type="auto" w:w="0"/>
        <w:jc w:val="center"/>
        <w:tblLook w:firstColumn="1" w:firstRow="1" w:lastColumn="0" w:lastRow="0" w:noHBand="0" w:noVBand="1" w:val="04A0"/>
      </w:tblPr>
      <w:tblGrid>
        <w:gridCol w:w="9936"/>
      </w:tblGrid>
      <w:tr>
        <w:tc>
          <w:tcPr>
            <w:tcW w:type="dxa" w:w="9792"/>
            <w:shd w:fill="F0FDF4"/>
            <w:tcMar>
              <w:top w:w="140" w:type="dxa"/>
              <w:bottom w:w="140" w:type="dxa"/>
              <w:left w:w="200" w:type="dxa"/>
              <w:right w:w="200" w:type="dxa"/>
            </w:tcMar>
          </w:tcPr>
          <w:p>
            <w:pPr>
              <w:spacing w:before="0" w:after="40"/>
            </w:pPr>
            <w:r>
              <w:rPr>
                <w:rFonts w:ascii="Arial" w:hAnsi="Arial"/>
                <w:b/>
                <w:color w:val="047857"/>
                <w:sz w:val="20"/>
              </w:rPr>
              <w:t>[CORE VALUE PROPOSITION]</w:t>
              <w:br/>
            </w:r>
            <w:r>
              <w:rPr>
                <w:rFonts w:ascii="Calibri" w:hAnsi="Calibri"/>
                <w:color w:val="166534"/>
                <w:sz w:val="21"/>
              </w:rPr>
              <w:t>TerraChain eliminates these structural points of failure by replacing centralized databases with an autonomous, mathematically verifiable smart contract ledger on the Ethereum Virtual Machine (EVM), combined with peer-to-peer decentralized document storage on IPFS.</w:t>
            </w:r>
          </w:p>
        </w:tc>
      </w:tr>
    </w:tbl>
    <w:p>
      <w:pPr>
        <w:spacing w:after="80"/>
      </w:pPr>
    </w:p>
    <w:p>
      <w:pPr>
        <w:keepNext/>
        <w:spacing w:before="400" w:after="120"/>
      </w:pPr>
      <w:r>
        <w:rPr>
          <w:rFonts w:ascii="Arial" w:hAnsi="Arial"/>
          <w:b/>
          <w:color w:val="059669"/>
          <w:sz w:val="30"/>
        </w:rPr>
        <w:t>2. Decentralized System Architecture &amp; Hybrid Storage</w:t>
      </w:r>
    </w:p>
    <w:p>
      <w:pPr>
        <w:spacing w:before="0" w:after="120" w:line="276" w:lineRule="auto"/>
      </w:pPr>
      <w:r>
        <w:rPr>
          <w:rFonts w:ascii="Calibri" w:hAnsi="Calibri"/>
          <w:color w:val="1E293B"/>
          <w:sz w:val="22"/>
        </w:rPr>
        <w:t>A critical engineering challenge in building blockchain-based enterprise systems is EVM gas economics. Storing high-resolution deed documents, architectural blueprints, and satellite GIS boundary surveys directly in Ethereum contract storage (SSTORE opcode) is economically prohibitive—storing a single 2 MB PDF would cost thousands of dollars in gas.</w:t>
      </w:r>
    </w:p>
    <w:p>
      <w:pPr>
        <w:spacing w:before="0" w:after="120" w:line="276" w:lineRule="auto"/>
      </w:pPr>
      <w:r>
        <w:rPr>
          <w:rFonts w:ascii="Calibri" w:hAnsi="Calibri"/>
          <w:color w:val="1E293B"/>
          <w:sz w:val="22"/>
        </w:rPr>
        <w:t>To solve this, TerraChain implements a state-of-the-art Hybrid On-Chain / Off-Chain Architecture divided into three distinct operational tiers:</w:t>
      </w:r>
    </w:p>
    <w:tbl>
      <w:tblPr>
        <w:tblW w:type="auto" w:w="0"/>
        <w:jc w:val="center"/>
        <w:tblLook w:firstColumn="1" w:firstRow="1" w:lastColumn="0" w:lastRow="0" w:noHBand="0" w:noVBand="1" w:val="04A0"/>
      </w:tblPr>
      <w:tblGrid>
        <w:gridCol w:w="2484"/>
        <w:gridCol w:w="2484"/>
        <w:gridCol w:w="2484"/>
        <w:gridCol w:w="2484"/>
      </w:tblGrid>
      <w:tr>
        <w:tc>
          <w:tcPr>
            <w:tcW w:type="dxa" w:w="2160"/>
            <w:shd w:fill="0F766E"/>
            <w:tcMar>
              <w:top w:w="100" w:type="dxa"/>
              <w:bottom w:w="100" w:type="dxa"/>
              <w:left w:w="120" w:type="dxa"/>
              <w:right w:w="120" w:type="dxa"/>
            </w:tcMar>
          </w:tcPr>
          <w:p>
            <w:pPr>
              <w:spacing w:before="80" w:after="80"/>
            </w:pPr>
            <w:r/>
            <w:r>
              <w:rPr>
                <w:rFonts w:ascii="Arial" w:hAnsi="Arial"/>
                <w:b/>
                <w:color w:val="FFFFFF"/>
                <w:sz w:val="19"/>
              </w:rPr>
              <w:t>Layer / Tier</w:t>
            </w:r>
          </w:p>
        </w:tc>
        <w:tc>
          <w:tcPr>
            <w:tcW w:type="dxa" w:w="2304"/>
            <w:shd w:fill="0F766E"/>
            <w:tcMar>
              <w:top w:w="100" w:type="dxa"/>
              <w:bottom w:w="100" w:type="dxa"/>
              <w:left w:w="120" w:type="dxa"/>
              <w:right w:w="120" w:type="dxa"/>
            </w:tcMar>
          </w:tcPr>
          <w:p>
            <w:pPr>
              <w:spacing w:before="80" w:after="80"/>
            </w:pPr>
            <w:r/>
            <w:r>
              <w:rPr>
                <w:rFonts w:ascii="Arial" w:hAnsi="Arial"/>
                <w:b/>
                <w:color w:val="FFFFFF"/>
                <w:sz w:val="19"/>
              </w:rPr>
              <w:t>Technology</w:t>
            </w:r>
          </w:p>
        </w:tc>
        <w:tc>
          <w:tcPr>
            <w:tcW w:type="dxa" w:w="2880"/>
            <w:shd w:fill="0F766E"/>
            <w:tcMar>
              <w:top w:w="100" w:type="dxa"/>
              <w:bottom w:w="100" w:type="dxa"/>
              <w:left w:w="120" w:type="dxa"/>
              <w:right w:w="120" w:type="dxa"/>
            </w:tcMar>
          </w:tcPr>
          <w:p>
            <w:pPr>
              <w:spacing w:before="80" w:after="80"/>
            </w:pPr>
            <w:r/>
            <w:r>
              <w:rPr>
                <w:rFonts w:ascii="Arial" w:hAnsi="Arial"/>
                <w:b/>
                <w:color w:val="FFFFFF"/>
                <w:sz w:val="19"/>
              </w:rPr>
              <w:t>Primary Responsibility</w:t>
            </w:r>
          </w:p>
        </w:tc>
        <w:tc>
          <w:tcPr>
            <w:tcW w:type="dxa" w:w="2448"/>
            <w:shd w:fill="0F766E"/>
            <w:tcMar>
              <w:top w:w="100" w:type="dxa"/>
              <w:bottom w:w="100" w:type="dxa"/>
              <w:left w:w="120" w:type="dxa"/>
              <w:right w:w="120" w:type="dxa"/>
            </w:tcMar>
          </w:tcPr>
          <w:p>
            <w:pPr>
              <w:spacing w:before="80" w:after="80"/>
            </w:pPr>
            <w:r/>
            <w:r>
              <w:rPr>
                <w:rFonts w:ascii="Arial" w:hAnsi="Arial"/>
                <w:b/>
                <w:color w:val="FFFFFF"/>
                <w:sz w:val="19"/>
              </w:rPr>
              <w:t>Key Invariants Enforced</w:t>
            </w:r>
          </w:p>
        </w:tc>
      </w:tr>
      <w:tr>
        <w:tc>
          <w:tcPr>
            <w:tcW w:type="dxa" w:w="2160"/>
            <w:shd w:fill="FFFFFF"/>
            <w:tcMar>
              <w:top w:w="80" w:type="dxa"/>
              <w:bottom w:w="80" w:type="dxa"/>
              <w:left w:w="120" w:type="dxa"/>
              <w:right w:w="120" w:type="dxa"/>
            </w:tcMar>
          </w:tcPr>
          <w:p>
            <w:pPr>
              <w:spacing w:before="60" w:after="60"/>
            </w:pPr>
            <w:r/>
            <w:r>
              <w:rPr>
                <w:rFonts w:ascii="Calibri" w:hAnsi="Calibri"/>
                <w:color w:val="1E293B"/>
                <w:sz w:val="19"/>
              </w:rPr>
              <w:t>Tier 1: Execution Engine</w:t>
            </w:r>
          </w:p>
        </w:tc>
        <w:tc>
          <w:tcPr>
            <w:tcW w:type="dxa" w:w="2304"/>
            <w:shd w:fill="FFFFFF"/>
            <w:tcMar>
              <w:top w:w="80" w:type="dxa"/>
              <w:bottom w:w="80" w:type="dxa"/>
              <w:left w:w="120" w:type="dxa"/>
              <w:right w:w="120" w:type="dxa"/>
            </w:tcMar>
          </w:tcPr>
          <w:p>
            <w:pPr>
              <w:spacing w:before="60" w:after="60"/>
            </w:pPr>
            <w:r/>
            <w:r>
              <w:rPr>
                <w:rFonts w:ascii="Calibri" w:hAnsi="Calibri"/>
                <w:color w:val="1E293B"/>
                <w:sz w:val="19"/>
              </w:rPr>
              <w:t>Solidity 0.8.20, Hardhat, OpenZeppelin</w:t>
            </w:r>
          </w:p>
        </w:tc>
        <w:tc>
          <w:tcPr>
            <w:tcW w:type="dxa" w:w="2880"/>
            <w:shd w:fill="FFFFFF"/>
            <w:tcMar>
              <w:top w:w="80" w:type="dxa"/>
              <w:bottom w:w="80" w:type="dxa"/>
              <w:left w:w="120" w:type="dxa"/>
              <w:right w:w="120" w:type="dxa"/>
            </w:tcMar>
          </w:tcPr>
          <w:p>
            <w:pPr>
              <w:spacing w:before="60" w:after="60"/>
            </w:pPr>
            <w:r/>
            <w:r>
              <w:rPr>
                <w:rFonts w:ascii="Calibri" w:hAnsi="Calibri"/>
                <w:color w:val="1E293B"/>
                <w:sz w:val="19"/>
              </w:rPr>
              <w:t>On-chain state machine, ownership registry, escrow settlement</w:t>
            </w:r>
          </w:p>
        </w:tc>
        <w:tc>
          <w:tcPr>
            <w:tcW w:type="dxa" w:w="2448"/>
            <w:shd w:fill="FFFFFF"/>
            <w:tcMar>
              <w:top w:w="80" w:type="dxa"/>
              <w:bottom w:w="80" w:type="dxa"/>
              <w:left w:w="120" w:type="dxa"/>
              <w:right w:w="120" w:type="dxa"/>
            </w:tcMar>
          </w:tcPr>
          <w:p>
            <w:pPr>
              <w:spacing w:before="60" w:after="60"/>
            </w:pPr>
            <w:r/>
            <w:r>
              <w:rPr>
                <w:rFonts w:ascii="Calibri" w:hAnsi="Calibri"/>
                <w:color w:val="1E293B"/>
                <w:sz w:val="19"/>
              </w:rPr>
              <w:t>ReentrancyGuard, immutable admin, Checks-Effects-Interactions</w:t>
            </w:r>
          </w:p>
        </w:tc>
      </w:tr>
      <w:tr>
        <w:tc>
          <w:tcPr>
            <w:tcW w:type="dxa" w:w="2160"/>
            <w:shd w:fill="F8FAFC"/>
            <w:tcMar>
              <w:top w:w="80" w:type="dxa"/>
              <w:bottom w:w="80" w:type="dxa"/>
              <w:left w:w="120" w:type="dxa"/>
              <w:right w:w="120" w:type="dxa"/>
            </w:tcMar>
          </w:tcPr>
          <w:p>
            <w:pPr>
              <w:spacing w:before="60" w:after="60"/>
            </w:pPr>
            <w:r/>
            <w:r>
              <w:rPr>
                <w:rFonts w:ascii="Calibri" w:hAnsi="Calibri"/>
                <w:color w:val="1E293B"/>
                <w:sz w:val="19"/>
              </w:rPr>
              <w:t>Tier 2: Content Storage</w:t>
            </w:r>
          </w:p>
        </w:tc>
        <w:tc>
          <w:tcPr>
            <w:tcW w:type="dxa" w:w="2304"/>
            <w:shd w:fill="F8FAFC"/>
            <w:tcMar>
              <w:top w:w="80" w:type="dxa"/>
              <w:bottom w:w="80" w:type="dxa"/>
              <w:left w:w="120" w:type="dxa"/>
              <w:right w:w="120" w:type="dxa"/>
            </w:tcMar>
          </w:tcPr>
          <w:p>
            <w:pPr>
              <w:spacing w:before="60" w:after="60"/>
            </w:pPr>
            <w:r/>
            <w:r>
              <w:rPr>
                <w:rFonts w:ascii="Calibri" w:hAnsi="Calibri"/>
                <w:color w:val="1E293B"/>
                <w:sz w:val="19"/>
              </w:rPr>
              <w:t>Pinata IPFS (InterPlanetary File System)</w:t>
            </w:r>
          </w:p>
        </w:tc>
        <w:tc>
          <w:tcPr>
            <w:tcW w:type="dxa" w:w="2880"/>
            <w:shd w:fill="F8FAFC"/>
            <w:tcMar>
              <w:top w:w="80" w:type="dxa"/>
              <w:bottom w:w="80" w:type="dxa"/>
              <w:left w:w="120" w:type="dxa"/>
              <w:right w:w="120" w:type="dxa"/>
            </w:tcMar>
          </w:tcPr>
          <w:p>
            <w:pPr>
              <w:spacing w:before="60" w:after="60"/>
            </w:pPr>
            <w:r/>
            <w:r>
              <w:rPr>
                <w:rFonts w:ascii="Calibri" w:hAnsi="Calibri"/>
                <w:color w:val="1E293B"/>
                <w:sz w:val="19"/>
              </w:rPr>
              <w:t>Decentralized document pinning, cryptographic CID generation</w:t>
            </w:r>
          </w:p>
        </w:tc>
        <w:tc>
          <w:tcPr>
            <w:tcW w:type="dxa" w:w="2448"/>
            <w:shd w:fill="F8FAFC"/>
            <w:tcMar>
              <w:top w:w="80" w:type="dxa"/>
              <w:bottom w:w="80" w:type="dxa"/>
              <w:left w:w="120" w:type="dxa"/>
              <w:right w:w="120" w:type="dxa"/>
            </w:tcMar>
          </w:tcPr>
          <w:p>
            <w:pPr>
              <w:spacing w:before="60" w:after="60"/>
            </w:pPr>
            <w:r/>
            <w:r>
              <w:rPr>
                <w:rFonts w:ascii="Calibri" w:hAnsi="Calibri"/>
                <w:color w:val="1E293B"/>
                <w:sz w:val="19"/>
              </w:rPr>
              <w:t>Content addressing, SHA-256 / Keccak-256 cryptographic immutability</w:t>
            </w:r>
          </w:p>
        </w:tc>
      </w:tr>
      <w:tr>
        <w:tc>
          <w:tcPr>
            <w:tcW w:type="dxa" w:w="2160"/>
            <w:shd w:fill="FFFFFF"/>
            <w:tcMar>
              <w:top w:w="80" w:type="dxa"/>
              <w:bottom w:w="80" w:type="dxa"/>
              <w:left w:w="120" w:type="dxa"/>
              <w:right w:w="120" w:type="dxa"/>
            </w:tcMar>
          </w:tcPr>
          <w:p>
            <w:pPr>
              <w:spacing w:before="60" w:after="60"/>
            </w:pPr>
            <w:r/>
            <w:r>
              <w:rPr>
                <w:rFonts w:ascii="Calibri" w:hAnsi="Calibri"/>
                <w:color w:val="1E293B"/>
                <w:sz w:val="19"/>
              </w:rPr>
              <w:t>Tier 3: Presentation</w:t>
            </w:r>
          </w:p>
        </w:tc>
        <w:tc>
          <w:tcPr>
            <w:tcW w:type="dxa" w:w="2304"/>
            <w:shd w:fill="FFFFFF"/>
            <w:tcMar>
              <w:top w:w="80" w:type="dxa"/>
              <w:bottom w:w="80" w:type="dxa"/>
              <w:left w:w="120" w:type="dxa"/>
              <w:right w:w="120" w:type="dxa"/>
            </w:tcMar>
          </w:tcPr>
          <w:p>
            <w:pPr>
              <w:spacing w:before="60" w:after="60"/>
            </w:pPr>
            <w:r/>
            <w:r>
              <w:rPr>
                <w:rFonts w:ascii="Calibri" w:hAnsi="Calibri"/>
                <w:color w:val="1E293B"/>
                <w:sz w:val="19"/>
              </w:rPr>
              <w:t>React 18, Vite, Tailwind CSS, Ethers.js v6</w:t>
            </w:r>
          </w:p>
        </w:tc>
        <w:tc>
          <w:tcPr>
            <w:tcW w:type="dxa" w:w="2880"/>
            <w:shd w:fill="FFFFFF"/>
            <w:tcMar>
              <w:top w:w="80" w:type="dxa"/>
              <w:bottom w:w="80" w:type="dxa"/>
              <w:left w:w="120" w:type="dxa"/>
              <w:right w:w="120" w:type="dxa"/>
            </w:tcMar>
          </w:tcPr>
          <w:p>
            <w:pPr>
              <w:spacing w:before="60" w:after="60"/>
            </w:pPr>
            <w:r/>
            <w:r>
              <w:rPr>
                <w:rFonts w:ascii="Calibri" w:hAnsi="Calibri"/>
                <w:color w:val="1E293B"/>
                <w:sz w:val="19"/>
              </w:rPr>
              <w:t>MetaMask provider integration, multi-role dynamic UI, real-time toasts</w:t>
            </w:r>
          </w:p>
        </w:tc>
        <w:tc>
          <w:tcPr>
            <w:tcW w:type="dxa" w:w="2448"/>
            <w:shd w:fill="FFFFFF"/>
            <w:tcMar>
              <w:top w:w="80" w:type="dxa"/>
              <w:bottom w:w="80" w:type="dxa"/>
              <w:left w:w="120" w:type="dxa"/>
              <w:right w:w="120" w:type="dxa"/>
            </w:tcMar>
          </w:tcPr>
          <w:p>
            <w:pPr>
              <w:spacing w:before="60" w:after="60"/>
            </w:pPr>
            <w:r/>
            <w:r>
              <w:rPr>
                <w:rFonts w:ascii="Calibri" w:hAnsi="Calibri"/>
                <w:color w:val="1E293B"/>
                <w:sz w:val="19"/>
              </w:rPr>
              <w:t>Zero centralized server dependencies, client-side role validation</w:t>
            </w:r>
          </w:p>
        </w:tc>
      </w:tr>
    </w:tbl>
    <w:p>
      <w:pPr>
        <w:spacing w:after="120"/>
      </w:pPr>
    </w:p>
    <w:p>
      <w:pPr>
        <w:keepNext/>
        <w:spacing w:before="280" w:after="80"/>
      </w:pPr>
      <w:r>
        <w:rPr>
          <w:rFonts w:ascii="Calibri" w:hAnsi="Calibri"/>
          <w:b/>
          <w:color w:val="0F172A"/>
          <w:sz w:val="25"/>
        </w:rPr>
        <w:t>The Cryptographic IPFS CID Binding Mechanism</w:t>
      </w:r>
    </w:p>
    <w:p>
      <w:pPr>
        <w:spacing w:before="0" w:after="120" w:line="276" w:lineRule="auto"/>
      </w:pPr>
      <w:r>
        <w:rPr>
          <w:rFonts w:ascii="Calibri" w:hAnsi="Calibri"/>
          <w:color w:val="1E293B"/>
          <w:sz w:val="22"/>
        </w:rPr>
        <w:t>When an owner uploads a cadastral title deed or survey certificate, the file is processed through the IPFS protocol via Pinata's REST API. The IPFS engine computes a unique cryptographic hash called a Content Identifier (CID, e.g., QmYwAPJzv5CZsnA625s3Xf2nemtYgPpHdWEz79ojWnPbdG). This 32-byte CID represents the mathematical digest of the file's binary contents. TerraChain immutably records this string directly into the smart contract's Land struct. If a malicious party alters even a single pixel or comma in the deed document, its recalculated hash completely diverges, rendering tampering instantly detectable.</w:t>
      </w:r>
    </w:p>
    <w:p>
      <w:pPr>
        <w:keepNext/>
        <w:spacing w:before="400" w:after="120"/>
      </w:pPr>
      <w:r>
        <w:rPr>
          <w:rFonts w:ascii="Arial" w:hAnsi="Arial"/>
          <w:b/>
          <w:color w:val="059669"/>
          <w:sz w:val="30"/>
        </w:rPr>
        <w:t>3. Smart Contract Deep Dive: LandRegistry.sol</w:t>
      </w:r>
    </w:p>
    <w:p>
      <w:pPr>
        <w:spacing w:before="0" w:after="120" w:line="276" w:lineRule="auto"/>
      </w:pPr>
      <w:r>
        <w:rPr>
          <w:rFonts w:ascii="Calibri" w:hAnsi="Calibri"/>
          <w:color w:val="1E293B"/>
          <w:sz w:val="22"/>
        </w:rPr>
        <w:t>The smart contract LandRegistry.sol is deployed on the EVM and serves as the autonomous, tamper-proof title registry. It integrates OpenZeppelin's ReentrancyGuard and utilizes Solidity 0.8.20 modern language features.</w:t>
      </w:r>
    </w:p>
    <w:p>
      <w:pPr>
        <w:keepNext/>
        <w:spacing w:before="280" w:after="80"/>
      </w:pPr>
      <w:r>
        <w:rPr>
          <w:rFonts w:ascii="Calibri" w:hAnsi="Calibri"/>
          <w:b/>
          <w:color w:val="0F172A"/>
          <w:sz w:val="25"/>
        </w:rPr>
        <w:t>3.1 On-Chain Data Structures &amp; State Mappings</w:t>
      </w:r>
    </w:p>
    <w:p>
      <w:pPr>
        <w:spacing w:before="0" w:after="120" w:line="276" w:lineRule="auto"/>
      </w:pPr>
      <w:r>
        <w:rPr>
          <w:rFonts w:ascii="Calibri" w:hAnsi="Calibri"/>
          <w:color w:val="1E293B"/>
          <w:sz w:val="22"/>
        </w:rPr>
        <w:t>Every real estate parcel is structured as an immutable Land entity stored within a private mapping indexed by an auto-incrementing uint256 ID:</w:t>
      </w:r>
    </w:p>
    <w:tbl>
      <w:tblPr>
        <w:tblW w:type="auto" w:w="0"/>
        <w:jc w:val="center"/>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0" w:after="0"/>
            </w:pPr>
            <w:r>
              <w:rPr>
                <w:rFonts w:ascii="Consolas" w:hAnsi="Consolas"/>
                <w:color w:val="1E293B"/>
                <w:sz w:val="18"/>
              </w:rPr>
              <w:t>struct Land {</w:t>
              <w:br/>
              <w:t xml:space="preserve">    uint256 id;                  // Unique auto-incrementing parcel identifier</w:t>
              <w:br/>
              <w:t xml:space="preserve">    string physicalAddress;      // Real-world physical street address / plot details</w:t>
              <w:br/>
              <w:t xml:space="preserve">    uint256 areaSqFt;            // Certified land surface area in square feet</w:t>
              <w:br/>
              <w:t xml:space="preserve">    uint256 priceInWei;          // Current valuation / listing price in Wei (1 ETH = 10^18 Wei)</w:t>
              <w:br/>
              <w:t xml:space="preserve">    string ipfsHash;             // 32-byte IPFS Content Identifier (CID) of the deed PDF</w:t>
              <w:br/>
              <w:t xml:space="preserve">    address payable currentOwner;// Ethereum wallet address of the verified title holder</w:t>
              <w:br/>
              <w:t xml:space="preserve">    bool isVerified;             // True only after physical audit by Land Inspector</w:t>
              <w:br/>
              <w:t xml:space="preserve">    bool isForSale;              // Flag indicating whether parcel is active on marketplace</w:t>
              <w:br/>
              <w:t>}</w:t>
              <w:br/>
              <w:br/>
              <w:t>address public immutable admin;                // Set at deployment to contract deployer</w:t>
              <w:br/>
              <w:t>uint256 private _nextLandId = 1;               // Auto-incrementing primary key counter</w:t>
              <w:br/>
              <w:t>mapping(uint256 =&gt; Land) private _lands;       // Primary on-chain registry mapping</w:t>
              <w:br/>
              <w:t>mapping(address =&gt; uint256[]) private _ownerLands; // Reverse portfolio index</w:t>
            </w:r>
          </w:p>
        </w:tc>
      </w:tr>
    </w:tbl>
    <w:p>
      <w:pPr>
        <w:spacing w:after="80"/>
      </w:pPr>
    </w:p>
    <w:p>
      <w:pPr>
        <w:keepNext/>
        <w:spacing w:before="280" w:after="80"/>
      </w:pPr>
      <w:r>
        <w:rPr>
          <w:rFonts w:ascii="Calibri" w:hAnsi="Calibri"/>
          <w:b/>
          <w:color w:val="0F172A"/>
          <w:sz w:val="25"/>
        </w:rPr>
        <w:t>3.2 Gas-Optimized Custom Errors</w:t>
      </w:r>
    </w:p>
    <w:p>
      <w:pPr>
        <w:spacing w:before="0" w:after="120" w:line="276" w:lineRule="auto"/>
      </w:pPr>
      <w:r>
        <w:rPr>
          <w:rFonts w:ascii="Calibri" w:hAnsi="Calibri"/>
          <w:color w:val="1E293B"/>
          <w:sz w:val="22"/>
        </w:rPr>
        <w:t>Standard Solidity require(condition, 'string error') statements store arbitrary string literals directly in contract runtime bytecode, inflating deployment gas costs and consuming extra execution gas during reverts. TerraChain leverages Solidity 0.8.20 Custom Errors, which compile to compact 4-byte function selectors, minimizing EVM execution costs by up to 40%:</w:t>
      </w:r>
    </w:p>
    <w:tbl>
      <w:tblPr>
        <w:tblW w:type="auto" w:w="0"/>
        <w:jc w:val="center"/>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0" w:after="0"/>
            </w:pPr>
            <w:r>
              <w:rPr>
                <w:rFonts w:ascii="Consolas" w:hAnsi="Consolas"/>
                <w:color w:val="1E293B"/>
                <w:sz w:val="18"/>
              </w:rPr>
              <w:t>error NotAdmin();</w:t>
              <w:br/>
              <w:t>error NotOwner();</w:t>
              <w:br/>
              <w:t>error LandNotFound();</w:t>
              <w:br/>
              <w:t>error LandAlreadyVerified();</w:t>
              <w:br/>
              <w:t>error LandNotVerified();</w:t>
              <w:br/>
              <w:t>error LandNotForSale();</w:t>
              <w:br/>
              <w:t>error InsufficientPayment(uint256 required, uint256 provided);</w:t>
              <w:br/>
              <w:t>error CannotBuyOwnLand();</w:t>
              <w:br/>
              <w:t>error InvalidArea();</w:t>
              <w:br/>
              <w:t>error InvalidPrice();</w:t>
              <w:br/>
              <w:t>error EmptyAddress();</w:t>
              <w:br/>
              <w:t>error EmptyIpfsHash();</w:t>
              <w:br/>
              <w:t>error EtherTransferFailed();</w:t>
            </w:r>
          </w:p>
        </w:tc>
      </w:tr>
    </w:tbl>
    <w:p>
      <w:pPr>
        <w:spacing w:after="80"/>
      </w:pPr>
    </w:p>
    <w:p>
      <w:pPr>
        <w:keepNext/>
        <w:spacing w:before="280" w:after="80"/>
      </w:pPr>
      <w:r>
        <w:rPr>
          <w:rFonts w:ascii="Calibri" w:hAnsi="Calibri"/>
          <w:b/>
          <w:color w:val="0F172A"/>
          <w:sz w:val="25"/>
        </w:rPr>
        <w:t>3.3 Core Function Execution Logic</w:t>
      </w:r>
    </w:p>
    <w:tbl>
      <w:tblPr>
        <w:tblW w:type="auto" w:w="0"/>
        <w:jc w:val="center"/>
        <w:tblLook w:firstColumn="1" w:firstRow="1" w:lastColumn="0" w:lastRow="0" w:noHBand="0" w:noVBand="1" w:val="04A0"/>
      </w:tblPr>
      <w:tblGrid>
        <w:gridCol w:w="2484"/>
        <w:gridCol w:w="2484"/>
        <w:gridCol w:w="2484"/>
        <w:gridCol w:w="2484"/>
      </w:tblGrid>
      <w:tr>
        <w:tc>
          <w:tcPr>
            <w:tcW w:type="dxa" w:w="2592"/>
            <w:shd w:fill="0F766E"/>
            <w:tcMar>
              <w:top w:w="100" w:type="dxa"/>
              <w:bottom w:w="100" w:type="dxa"/>
              <w:left w:w="120" w:type="dxa"/>
              <w:right w:w="120" w:type="dxa"/>
            </w:tcMar>
          </w:tcPr>
          <w:p>
            <w:pPr>
              <w:spacing w:before="80" w:after="80"/>
            </w:pPr>
            <w:r/>
            <w:r>
              <w:rPr>
                <w:rFonts w:ascii="Arial" w:hAnsi="Arial"/>
                <w:b/>
                <w:color w:val="FFFFFF"/>
                <w:sz w:val="19"/>
              </w:rPr>
              <w:t>Function Signature</w:t>
            </w:r>
          </w:p>
        </w:tc>
        <w:tc>
          <w:tcPr>
            <w:tcW w:type="dxa" w:w="1440"/>
            <w:shd w:fill="0F766E"/>
            <w:tcMar>
              <w:top w:w="100" w:type="dxa"/>
              <w:bottom w:w="100" w:type="dxa"/>
              <w:left w:w="120" w:type="dxa"/>
              <w:right w:w="120" w:type="dxa"/>
            </w:tcMar>
          </w:tcPr>
          <w:p>
            <w:pPr>
              <w:spacing w:before="80" w:after="80"/>
            </w:pPr>
            <w:r/>
            <w:r>
              <w:rPr>
                <w:rFonts w:ascii="Arial" w:hAnsi="Arial"/>
                <w:b/>
                <w:color w:val="FFFFFF"/>
                <w:sz w:val="19"/>
              </w:rPr>
              <w:t>Access Scope</w:t>
            </w:r>
          </w:p>
        </w:tc>
        <w:tc>
          <w:tcPr>
            <w:tcW w:type="dxa" w:w="1728"/>
            <w:shd w:fill="0F766E"/>
            <w:tcMar>
              <w:top w:w="100" w:type="dxa"/>
              <w:bottom w:w="100" w:type="dxa"/>
              <w:left w:w="120" w:type="dxa"/>
              <w:right w:w="120" w:type="dxa"/>
            </w:tcMar>
          </w:tcPr>
          <w:p>
            <w:pPr>
              <w:spacing w:before="80" w:after="80"/>
            </w:pPr>
            <w:r/>
            <w:r>
              <w:rPr>
                <w:rFonts w:ascii="Arial" w:hAnsi="Arial"/>
                <w:b/>
                <w:color w:val="FFFFFF"/>
                <w:sz w:val="19"/>
              </w:rPr>
              <w:t>Modifiers</w:t>
            </w:r>
          </w:p>
        </w:tc>
        <w:tc>
          <w:tcPr>
            <w:tcW w:type="dxa" w:w="4032"/>
            <w:shd w:fill="0F766E"/>
            <w:tcMar>
              <w:top w:w="100" w:type="dxa"/>
              <w:bottom w:w="100" w:type="dxa"/>
              <w:left w:w="120" w:type="dxa"/>
              <w:right w:w="120" w:type="dxa"/>
            </w:tcMar>
          </w:tcPr>
          <w:p>
            <w:pPr>
              <w:spacing w:before="80" w:after="80"/>
            </w:pPr>
            <w:r/>
            <w:r>
              <w:rPr>
                <w:rFonts w:ascii="Arial" w:hAnsi="Arial"/>
                <w:b/>
                <w:color w:val="FFFFFF"/>
                <w:sz w:val="19"/>
              </w:rPr>
              <w:t>Core Operational Logic</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registerLand(string, uint, uint, string)</w:t>
            </w:r>
          </w:p>
        </w:tc>
        <w:tc>
          <w:tcPr>
            <w:tcW w:type="dxa" w:w="1440"/>
            <w:shd w:fill="FFFFFF"/>
            <w:tcMar>
              <w:top w:w="80" w:type="dxa"/>
              <w:bottom w:w="80" w:type="dxa"/>
              <w:left w:w="120" w:type="dxa"/>
              <w:right w:w="120" w:type="dxa"/>
            </w:tcMar>
          </w:tcPr>
          <w:p>
            <w:pPr>
              <w:spacing w:before="60" w:after="60"/>
            </w:pPr>
            <w:r/>
            <w:r>
              <w:rPr>
                <w:rFonts w:ascii="Calibri" w:hAnsi="Calibri"/>
                <w:color w:val="1E293B"/>
                <w:sz w:val="19"/>
              </w:rPr>
              <w:t>External (Public)</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None</w:t>
            </w:r>
          </w:p>
        </w:tc>
        <w:tc>
          <w:tcPr>
            <w:tcW w:type="dxa" w:w="4032"/>
            <w:shd w:fill="FFFFFF"/>
            <w:tcMar>
              <w:top w:w="80" w:type="dxa"/>
              <w:bottom w:w="80" w:type="dxa"/>
              <w:left w:w="120" w:type="dxa"/>
              <w:right w:w="120" w:type="dxa"/>
            </w:tcMar>
          </w:tcPr>
          <w:p>
            <w:pPr>
              <w:spacing w:before="60" w:after="60"/>
            </w:pPr>
            <w:r/>
            <w:r>
              <w:rPr>
                <w:rFonts w:ascii="Calibri" w:hAnsi="Calibri"/>
                <w:color w:val="1E293B"/>
                <w:sz w:val="19"/>
              </w:rPr>
              <w:t>Validates inputs, increments _nextLandId, stores parcel (isVerified=false, isForSale=false), emits LandRegistered.</w:t>
            </w:r>
          </w:p>
        </w:tc>
      </w:tr>
      <w:tr>
        <w:tc>
          <w:tcPr>
            <w:tcW w:type="dxa" w:w="2592"/>
            <w:shd w:fill="F8FAFC"/>
            <w:tcMar>
              <w:top w:w="80" w:type="dxa"/>
              <w:bottom w:w="80" w:type="dxa"/>
              <w:left w:w="120" w:type="dxa"/>
              <w:right w:w="120" w:type="dxa"/>
            </w:tcMar>
          </w:tcPr>
          <w:p>
            <w:pPr>
              <w:spacing w:before="60" w:after="60"/>
            </w:pPr>
            <w:r/>
            <w:r>
              <w:rPr>
                <w:rFonts w:ascii="Calibri" w:hAnsi="Calibri"/>
                <w:color w:val="1E293B"/>
                <w:sz w:val="19"/>
              </w:rPr>
              <w:t>verifyLand(uint256 landId)</w:t>
            </w:r>
          </w:p>
        </w:tc>
        <w:tc>
          <w:tcPr>
            <w:tcW w:type="dxa" w:w="1440"/>
            <w:shd w:fill="F8FAFC"/>
            <w:tcMar>
              <w:top w:w="80" w:type="dxa"/>
              <w:bottom w:w="80" w:type="dxa"/>
              <w:left w:w="120" w:type="dxa"/>
              <w:right w:w="120" w:type="dxa"/>
            </w:tcMar>
          </w:tcPr>
          <w:p>
            <w:pPr>
              <w:spacing w:before="60" w:after="60"/>
            </w:pPr>
            <w:r/>
            <w:r>
              <w:rPr>
                <w:rFonts w:ascii="Calibri" w:hAnsi="Calibri"/>
                <w:color w:val="1E293B"/>
                <w:sz w:val="19"/>
              </w:rPr>
              <w:t>External</w:t>
            </w:r>
          </w:p>
        </w:tc>
        <w:tc>
          <w:tcPr>
            <w:tcW w:type="dxa" w:w="1728"/>
            <w:shd w:fill="F8FAFC"/>
            <w:tcMar>
              <w:top w:w="80" w:type="dxa"/>
              <w:bottom w:w="80" w:type="dxa"/>
              <w:left w:w="120" w:type="dxa"/>
              <w:right w:w="120" w:type="dxa"/>
            </w:tcMar>
          </w:tcPr>
          <w:p>
            <w:pPr>
              <w:spacing w:before="60" w:after="60"/>
            </w:pPr>
            <w:r/>
            <w:r>
              <w:rPr>
                <w:rFonts w:ascii="Calibri" w:hAnsi="Calibri"/>
                <w:color w:val="1E293B"/>
                <w:sz w:val="19"/>
              </w:rPr>
              <w:t>onlyAdmin</w:t>
            </w:r>
          </w:p>
        </w:tc>
        <w:tc>
          <w:tcPr>
            <w:tcW w:type="dxa" w:w="4032"/>
            <w:shd w:fill="F8FAFC"/>
            <w:tcMar>
              <w:top w:w="80" w:type="dxa"/>
              <w:bottom w:w="80" w:type="dxa"/>
              <w:left w:w="120" w:type="dxa"/>
              <w:right w:w="120" w:type="dxa"/>
            </w:tcMar>
          </w:tcPr>
          <w:p>
            <w:pPr>
              <w:spacing w:before="60" w:after="60"/>
            </w:pPr>
            <w:r/>
            <w:r>
              <w:rPr>
                <w:rFonts w:ascii="Calibri" w:hAnsi="Calibri"/>
                <w:color w:val="1E293B"/>
                <w:sz w:val="19"/>
              </w:rPr>
              <w:t>Restricted to Admin / Land Inspector. Asserts parcel exists and unverified, flips isVerified=true, emits LandVerified.</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listForSale(uint256 landId, uint256 price)</w:t>
            </w:r>
          </w:p>
        </w:tc>
        <w:tc>
          <w:tcPr>
            <w:tcW w:type="dxa" w:w="1440"/>
            <w:shd w:fill="FFFFFF"/>
            <w:tcMar>
              <w:top w:w="80" w:type="dxa"/>
              <w:bottom w:w="80" w:type="dxa"/>
              <w:left w:w="120" w:type="dxa"/>
              <w:right w:w="120" w:type="dxa"/>
            </w:tcMar>
          </w:tcPr>
          <w:p>
            <w:pPr>
              <w:spacing w:before="60" w:after="60"/>
            </w:pPr>
            <w:r/>
            <w:r>
              <w:rPr>
                <w:rFonts w:ascii="Calibri" w:hAnsi="Calibri"/>
                <w:color w:val="1E293B"/>
                <w:sz w:val="19"/>
              </w:rPr>
              <w:t>External</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onlyOwner(landId)</w:t>
            </w:r>
          </w:p>
        </w:tc>
        <w:tc>
          <w:tcPr>
            <w:tcW w:type="dxa" w:w="4032"/>
            <w:shd w:fill="FFFFFF"/>
            <w:tcMar>
              <w:top w:w="80" w:type="dxa"/>
              <w:bottom w:w="80" w:type="dxa"/>
              <w:left w:w="120" w:type="dxa"/>
              <w:right w:w="120" w:type="dxa"/>
            </w:tcMar>
          </w:tcPr>
          <w:p>
            <w:pPr>
              <w:spacing w:before="60" w:after="60"/>
            </w:pPr>
            <w:r/>
            <w:r>
              <w:rPr>
                <w:rFonts w:ascii="Calibri" w:hAnsi="Calibri"/>
                <w:color w:val="1E293B"/>
                <w:sz w:val="19"/>
              </w:rPr>
              <w:t>Requires isVerified==true and price&gt;0. Updates priceInWei, sets isForSale=true, emits LandListed.</w:t>
            </w:r>
          </w:p>
        </w:tc>
      </w:tr>
      <w:tr>
        <w:tc>
          <w:tcPr>
            <w:tcW w:type="dxa" w:w="2592"/>
            <w:shd w:fill="F8FAFC"/>
            <w:tcMar>
              <w:top w:w="80" w:type="dxa"/>
              <w:bottom w:w="80" w:type="dxa"/>
              <w:left w:w="120" w:type="dxa"/>
              <w:right w:w="120" w:type="dxa"/>
            </w:tcMar>
          </w:tcPr>
          <w:p>
            <w:pPr>
              <w:spacing w:before="60" w:after="60"/>
            </w:pPr>
            <w:r/>
            <w:r>
              <w:rPr>
                <w:rFonts w:ascii="Calibri" w:hAnsi="Calibri"/>
                <w:color w:val="1E293B"/>
                <w:sz w:val="19"/>
              </w:rPr>
              <w:t>delistLand(uint256 landId)</w:t>
            </w:r>
          </w:p>
        </w:tc>
        <w:tc>
          <w:tcPr>
            <w:tcW w:type="dxa" w:w="1440"/>
            <w:shd w:fill="F8FAFC"/>
            <w:tcMar>
              <w:top w:w="80" w:type="dxa"/>
              <w:bottom w:w="80" w:type="dxa"/>
              <w:left w:w="120" w:type="dxa"/>
              <w:right w:w="120" w:type="dxa"/>
            </w:tcMar>
          </w:tcPr>
          <w:p>
            <w:pPr>
              <w:spacing w:before="60" w:after="60"/>
            </w:pPr>
            <w:r/>
            <w:r>
              <w:rPr>
                <w:rFonts w:ascii="Calibri" w:hAnsi="Calibri"/>
                <w:color w:val="1E293B"/>
                <w:sz w:val="19"/>
              </w:rPr>
              <w:t>External</w:t>
            </w:r>
          </w:p>
        </w:tc>
        <w:tc>
          <w:tcPr>
            <w:tcW w:type="dxa" w:w="1728"/>
            <w:shd w:fill="F8FAFC"/>
            <w:tcMar>
              <w:top w:w="80" w:type="dxa"/>
              <w:bottom w:w="80" w:type="dxa"/>
              <w:left w:w="120" w:type="dxa"/>
              <w:right w:w="120" w:type="dxa"/>
            </w:tcMar>
          </w:tcPr>
          <w:p>
            <w:pPr>
              <w:spacing w:before="60" w:after="60"/>
            </w:pPr>
            <w:r/>
            <w:r>
              <w:rPr>
                <w:rFonts w:ascii="Calibri" w:hAnsi="Calibri"/>
                <w:color w:val="1E293B"/>
                <w:sz w:val="19"/>
              </w:rPr>
              <w:t>onlyOwner(landId)</w:t>
            </w:r>
          </w:p>
        </w:tc>
        <w:tc>
          <w:tcPr>
            <w:tcW w:type="dxa" w:w="4032"/>
            <w:shd w:fill="F8FAFC"/>
            <w:tcMar>
              <w:top w:w="80" w:type="dxa"/>
              <w:bottom w:w="80" w:type="dxa"/>
              <w:left w:w="120" w:type="dxa"/>
              <w:right w:w="120" w:type="dxa"/>
            </w:tcMar>
          </w:tcPr>
          <w:p>
            <w:pPr>
              <w:spacing w:before="60" w:after="60"/>
            </w:pPr>
            <w:r/>
            <w:r>
              <w:rPr>
                <w:rFonts w:ascii="Calibri" w:hAnsi="Calibri"/>
                <w:color w:val="1E293B"/>
                <w:sz w:val="19"/>
              </w:rPr>
              <w:t>Requires isForSale==true. Resets isForSale=false, removes from active marketplace, emits LandDelisted.</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buyLand(uint256 landId)</w:t>
            </w:r>
          </w:p>
        </w:tc>
        <w:tc>
          <w:tcPr>
            <w:tcW w:type="dxa" w:w="1440"/>
            <w:shd w:fill="FFFFFF"/>
            <w:tcMar>
              <w:top w:w="80" w:type="dxa"/>
              <w:bottom w:w="80" w:type="dxa"/>
              <w:left w:w="120" w:type="dxa"/>
              <w:right w:w="120" w:type="dxa"/>
            </w:tcMar>
          </w:tcPr>
          <w:p>
            <w:pPr>
              <w:spacing w:before="60" w:after="60"/>
            </w:pPr>
            <w:r/>
            <w:r>
              <w:rPr>
                <w:rFonts w:ascii="Calibri" w:hAnsi="Calibri"/>
                <w:color w:val="1E293B"/>
                <w:sz w:val="19"/>
              </w:rPr>
              <w:t>External (Payable)</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nonReentrant</w:t>
            </w:r>
          </w:p>
        </w:tc>
        <w:tc>
          <w:tcPr>
            <w:tcW w:type="dxa" w:w="4032"/>
            <w:shd w:fill="FFFFFF"/>
            <w:tcMar>
              <w:top w:w="80" w:type="dxa"/>
              <w:bottom w:w="80" w:type="dxa"/>
              <w:left w:w="120" w:type="dxa"/>
              <w:right w:w="120" w:type="dxa"/>
            </w:tcMar>
          </w:tcPr>
          <w:p>
            <w:pPr>
              <w:spacing w:before="60" w:after="60"/>
            </w:pPr>
            <w:r/>
            <w:r>
              <w:rPr>
                <w:rFonts w:ascii="Calibri" w:hAnsi="Calibri"/>
                <w:color w:val="1E293B"/>
                <w:sz w:val="19"/>
              </w:rPr>
              <w:t>Atomic escrow: Checks valid sale, prevents self-purchase, validates msg.value&gt;=price, updates title, transfers ETH, refunds excess.</w:t>
            </w:r>
          </w:p>
        </w:tc>
      </w:tr>
      <w:tr>
        <w:tc>
          <w:tcPr>
            <w:tcW w:type="dxa" w:w="2592"/>
            <w:shd w:fill="F8FAFC"/>
            <w:tcMar>
              <w:top w:w="80" w:type="dxa"/>
              <w:bottom w:w="80" w:type="dxa"/>
              <w:left w:w="120" w:type="dxa"/>
              <w:right w:w="120" w:type="dxa"/>
            </w:tcMar>
          </w:tcPr>
          <w:p>
            <w:pPr>
              <w:spacing w:before="60" w:after="60"/>
            </w:pPr>
            <w:r/>
            <w:r>
              <w:rPr>
                <w:rFonts w:ascii="Calibri" w:hAnsi="Calibri"/>
                <w:color w:val="1E293B"/>
                <w:sz w:val="19"/>
              </w:rPr>
              <w:t>getLandDetails(uint256 landId)</w:t>
            </w:r>
          </w:p>
        </w:tc>
        <w:tc>
          <w:tcPr>
            <w:tcW w:type="dxa" w:w="1440"/>
            <w:shd w:fill="F8FAFC"/>
            <w:tcMar>
              <w:top w:w="80" w:type="dxa"/>
              <w:bottom w:w="80" w:type="dxa"/>
              <w:left w:w="120" w:type="dxa"/>
              <w:right w:w="120" w:type="dxa"/>
            </w:tcMar>
          </w:tcPr>
          <w:p>
            <w:pPr>
              <w:spacing w:before="60" w:after="60"/>
            </w:pPr>
            <w:r/>
            <w:r>
              <w:rPr>
                <w:rFonts w:ascii="Calibri" w:hAnsi="Calibri"/>
                <w:color w:val="1E293B"/>
                <w:sz w:val="19"/>
              </w:rPr>
              <w:t>External View</w:t>
            </w:r>
          </w:p>
        </w:tc>
        <w:tc>
          <w:tcPr>
            <w:tcW w:type="dxa" w:w="1728"/>
            <w:shd w:fill="F8FAFC"/>
            <w:tcMar>
              <w:top w:w="80" w:type="dxa"/>
              <w:bottom w:w="80" w:type="dxa"/>
              <w:left w:w="120" w:type="dxa"/>
              <w:right w:w="120" w:type="dxa"/>
            </w:tcMar>
          </w:tcPr>
          <w:p>
            <w:pPr>
              <w:spacing w:before="60" w:after="60"/>
            </w:pPr>
            <w:r/>
            <w:r>
              <w:rPr>
                <w:rFonts w:ascii="Calibri" w:hAnsi="Calibri"/>
                <w:color w:val="1E293B"/>
                <w:sz w:val="19"/>
              </w:rPr>
              <w:t>None</w:t>
            </w:r>
          </w:p>
        </w:tc>
        <w:tc>
          <w:tcPr>
            <w:tcW w:type="dxa" w:w="4032"/>
            <w:shd w:fill="F8FAFC"/>
            <w:tcMar>
              <w:top w:w="80" w:type="dxa"/>
              <w:bottom w:w="80" w:type="dxa"/>
              <w:left w:w="120" w:type="dxa"/>
              <w:right w:w="120" w:type="dxa"/>
            </w:tcMar>
          </w:tcPr>
          <w:p>
            <w:pPr>
              <w:spacing w:before="60" w:after="60"/>
            </w:pPr>
            <w:r/>
            <w:r>
              <w:rPr>
                <w:rFonts w:ascii="Calibri" w:hAnsi="Calibri"/>
                <w:color w:val="1E293B"/>
                <w:sz w:val="19"/>
              </w:rPr>
              <w:t>Returns complete Land memory struct. Reverts with LandNotFound if id does not exist.</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getLandsByOwner(address owner)</w:t>
            </w:r>
          </w:p>
        </w:tc>
        <w:tc>
          <w:tcPr>
            <w:tcW w:type="dxa" w:w="1440"/>
            <w:shd w:fill="FFFFFF"/>
            <w:tcMar>
              <w:top w:w="80" w:type="dxa"/>
              <w:bottom w:w="80" w:type="dxa"/>
              <w:left w:w="120" w:type="dxa"/>
              <w:right w:w="120" w:type="dxa"/>
            </w:tcMar>
          </w:tcPr>
          <w:p>
            <w:pPr>
              <w:spacing w:before="60" w:after="60"/>
            </w:pPr>
            <w:r/>
            <w:r>
              <w:rPr>
                <w:rFonts w:ascii="Calibri" w:hAnsi="Calibri"/>
                <w:color w:val="1E293B"/>
                <w:sz w:val="19"/>
              </w:rPr>
              <w:t>External View</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None</w:t>
            </w:r>
          </w:p>
        </w:tc>
        <w:tc>
          <w:tcPr>
            <w:tcW w:type="dxa" w:w="4032"/>
            <w:shd w:fill="FFFFFF"/>
            <w:tcMar>
              <w:top w:w="80" w:type="dxa"/>
              <w:bottom w:w="80" w:type="dxa"/>
              <w:left w:w="120" w:type="dxa"/>
              <w:right w:w="120" w:type="dxa"/>
            </w:tcMar>
          </w:tcPr>
          <w:p>
            <w:pPr>
              <w:spacing w:before="60" w:after="60"/>
            </w:pPr>
            <w:r/>
            <w:r>
              <w:rPr>
                <w:rFonts w:ascii="Calibri" w:hAnsi="Calibri"/>
                <w:color w:val="1E293B"/>
                <w:sz w:val="19"/>
              </w:rPr>
              <w:t>Returns dynamic uint256[] array of all land IDs owned by the given address.</w:t>
            </w:r>
          </w:p>
        </w:tc>
      </w:tr>
    </w:tbl>
    <w:p>
      <w:pPr>
        <w:spacing w:after="120"/>
      </w:pPr>
    </w:p>
    <w:p>
      <w:pPr>
        <w:keepNext/>
        <w:spacing w:before="280" w:after="80"/>
      </w:pPr>
      <w:r>
        <w:rPr>
          <w:rFonts w:ascii="Calibri" w:hAnsi="Calibri"/>
          <w:b/>
          <w:color w:val="0F172A"/>
          <w:sz w:val="25"/>
        </w:rPr>
        <w:t>3.4 Atomic Escrow Settlement &amp; Reentrancy Guard</w:t>
      </w:r>
    </w:p>
    <w:p>
      <w:pPr>
        <w:spacing w:before="0" w:after="120" w:line="276" w:lineRule="auto"/>
      </w:pPr>
      <w:r>
        <w:rPr>
          <w:rFonts w:ascii="Calibri" w:hAnsi="Calibri"/>
          <w:color w:val="1E293B"/>
          <w:sz w:val="22"/>
        </w:rPr>
        <w:t>The buyLand() method implements the strict Checks-Effects-Interactions (CEI) design pattern to eliminate reentrancy vulnerabilities. When a buyer invokes buyLand(uint256 landId) and sends Ether:</w:t>
      </w:r>
    </w:p>
    <w:p>
      <w:pPr>
        <w:pStyle w:val="ListBullet"/>
        <w:spacing w:before="20" w:after="60" w:line="276" w:lineRule="auto"/>
      </w:pPr>
      <w:r>
        <w:rPr>
          <w:rFonts w:ascii="Calibri" w:hAnsi="Calibri"/>
          <w:b/>
          <w:color w:val="0F172A"/>
          <w:sz w:val="22"/>
        </w:rPr>
        <w:t xml:space="preserve">1. Pre-Execution Checks: </w:t>
      </w:r>
      <w:r>
        <w:rPr>
          <w:rFonts w:ascii="Calibri" w:hAnsi="Calibri"/>
          <w:b w:val="0"/>
          <w:color w:val="1E293B"/>
          <w:sz w:val="22"/>
        </w:rPr>
        <w:t>Validates that the land exists, is verified by the inspector, is currently marked for sale, that the caller is not already the owner, and that msg.value &gt;= land.priceInWei.</w:t>
      </w:r>
    </w:p>
    <w:p>
      <w:pPr>
        <w:pStyle w:val="ListBullet"/>
        <w:spacing w:before="20" w:after="60" w:line="276" w:lineRule="auto"/>
      </w:pPr>
      <w:r>
        <w:rPr>
          <w:rFonts w:ascii="Calibri" w:hAnsi="Calibri"/>
          <w:b/>
          <w:color w:val="0F172A"/>
          <w:sz w:val="22"/>
        </w:rPr>
        <w:t xml:space="preserve">2. Internal State Mutations (Effects): </w:t>
      </w:r>
      <w:r>
        <w:rPr>
          <w:rFonts w:ascii="Calibri" w:hAnsi="Calibri"/>
          <w:b w:val="0"/>
          <w:color w:val="1E293B"/>
          <w:sz w:val="22"/>
        </w:rPr>
        <w:t>Before any cryptocurrency is transferred, land.currentOwner is updated to payable(msg.sender), land.isForSale is flipped to false, and the land ID is appended to the buyer's _ownerLands array. This guarantees that any malicious re-entrant callback finds the property already sold.</w:t>
      </w:r>
    </w:p>
    <w:p>
      <w:pPr>
        <w:pStyle w:val="ListBullet"/>
        <w:spacing w:before="20" w:after="60" w:line="276" w:lineRule="auto"/>
      </w:pPr>
      <w:r>
        <w:rPr>
          <w:rFonts w:ascii="Calibri" w:hAnsi="Calibri"/>
          <w:b/>
          <w:color w:val="0F172A"/>
          <w:sz w:val="22"/>
        </w:rPr>
        <w:t xml:space="preserve">3. External Fund Transfer (Interactions): </w:t>
      </w:r>
      <w:r>
        <w:rPr>
          <w:rFonts w:ascii="Calibri" w:hAnsi="Calibri"/>
          <w:b w:val="0"/>
          <w:color w:val="1E293B"/>
          <w:sz w:val="22"/>
        </w:rPr>
        <w:t>The contract dispatches the exact purchase price to the previous owner using low-level call{value: purchasePrice}(''). If the transfer fails, the transaction reverts.</w:t>
      </w:r>
    </w:p>
    <w:p>
      <w:pPr>
        <w:pStyle w:val="ListBullet"/>
        <w:spacing w:before="20" w:after="60" w:line="276" w:lineRule="auto"/>
      </w:pPr>
      <w:r>
        <w:rPr>
          <w:rFonts w:ascii="Calibri" w:hAnsi="Calibri"/>
          <w:b/>
          <w:color w:val="0F172A"/>
          <w:sz w:val="22"/>
        </w:rPr>
        <w:t xml:space="preserve">4. Automatic Excess Payment Refund: </w:t>
      </w:r>
      <w:r>
        <w:rPr>
          <w:rFonts w:ascii="Calibri" w:hAnsi="Calibri"/>
          <w:b w:val="0"/>
          <w:color w:val="1E293B"/>
          <w:sz w:val="22"/>
        </w:rPr>
        <w:t>If the buyer submitted surplus Ether (msg.value &gt; purchasePrice), the contract calculates refundAmount = msg.value - purchasePrice and dispatches it back to the buyer.</w:t>
      </w:r>
    </w:p>
    <w:p>
      <w:pPr>
        <w:keepNext/>
        <w:spacing w:before="400" w:after="120"/>
      </w:pPr>
      <w:r>
        <w:rPr>
          <w:rFonts w:ascii="Arial" w:hAnsi="Arial"/>
          <w:b/>
          <w:color w:val="059669"/>
          <w:sz w:val="30"/>
        </w:rPr>
        <w:t>4. Decentralized Document Ingestion (Pinata IPFS)</w:t>
      </w:r>
    </w:p>
    <w:p>
      <w:pPr>
        <w:spacing w:before="0" w:after="120" w:line="276" w:lineRule="auto"/>
      </w:pPr>
      <w:r>
        <w:rPr>
          <w:rFonts w:ascii="Calibri" w:hAnsi="Calibri"/>
          <w:color w:val="1E293B"/>
          <w:sz w:val="22"/>
        </w:rPr>
        <w:t>The decentralized storage pipeline is orchestrated via frontend/src/services/pinataService.js and frontend/src/components/DocumentUploader.jsx. It provides a production-grade file ingestion workflow:</w:t>
      </w:r>
    </w:p>
    <w:p>
      <w:pPr>
        <w:pStyle w:val="ListBullet"/>
        <w:spacing w:before="20" w:after="60" w:line="276" w:lineRule="auto"/>
      </w:pPr>
      <w:r>
        <w:rPr>
          <w:rFonts w:ascii="Calibri" w:hAnsi="Calibri"/>
          <w:b/>
          <w:color w:val="0F172A"/>
          <w:sz w:val="22"/>
        </w:rPr>
        <w:t xml:space="preserve">• Dual Authentication Handshake: </w:t>
      </w:r>
      <w:r>
        <w:rPr>
          <w:rFonts w:ascii="Calibri" w:hAnsi="Calibri"/>
          <w:b w:val="0"/>
          <w:color w:val="1E293B"/>
          <w:sz w:val="22"/>
        </w:rPr>
        <w:t>Supports both modern Pinata JWT Bearer tokens and legacy API Key / Secret pairs. The service performs an initial testAuthentication() ping to verify gateway status.</w:t>
      </w:r>
    </w:p>
    <w:p>
      <w:pPr>
        <w:pStyle w:val="ListBullet"/>
        <w:spacing w:before="20" w:after="60" w:line="276" w:lineRule="auto"/>
      </w:pPr>
      <w:r>
        <w:rPr>
          <w:rFonts w:ascii="Calibri" w:hAnsi="Calibri"/>
          <w:b/>
          <w:color w:val="0F172A"/>
          <w:sz w:val="22"/>
        </w:rPr>
        <w:t xml:space="preserve">• Drag-and-Drop Ingestion: </w:t>
      </w:r>
      <w:r>
        <w:rPr>
          <w:rFonts w:ascii="Calibri" w:hAnsi="Calibri"/>
          <w:b w:val="0"/>
          <w:color w:val="1E293B"/>
          <w:sz w:val="22"/>
        </w:rPr>
        <w:t>Users can drag deed PDFs, satellite surveys, or site photographs directly into the upload dropzone. The component enforces a 15 MB file size limit and restricts MIME types to PDF, PNG, JPG, and WebP.</w:t>
      </w:r>
    </w:p>
    <w:p>
      <w:pPr>
        <w:pStyle w:val="ListBullet"/>
        <w:spacing w:before="20" w:after="60" w:line="276" w:lineRule="auto"/>
      </w:pPr>
      <w:r>
        <w:rPr>
          <w:rFonts w:ascii="Calibri" w:hAnsi="Calibri"/>
          <w:b/>
          <w:color w:val="0F172A"/>
          <w:sz w:val="22"/>
        </w:rPr>
        <w:t xml:space="preserve">• Granular Progress Tracking: </w:t>
      </w:r>
      <w:r>
        <w:rPr>
          <w:rFonts w:ascii="Calibri" w:hAnsi="Calibri"/>
          <w:b w:val="0"/>
          <w:color w:val="1E293B"/>
          <w:sz w:val="22"/>
        </w:rPr>
        <w:t>Leverages Axios onUploadProgress to calculate percentage completion in real-time, providing visual progress feedback.</w:t>
      </w:r>
    </w:p>
    <w:p>
      <w:pPr>
        <w:pStyle w:val="ListBullet"/>
        <w:spacing w:before="20" w:after="60" w:line="276" w:lineRule="auto"/>
      </w:pPr>
      <w:r>
        <w:rPr>
          <w:rFonts w:ascii="Calibri" w:hAnsi="Calibri"/>
          <w:b/>
          <w:color w:val="0F172A"/>
          <w:sz w:val="22"/>
        </w:rPr>
        <w:t xml:space="preserve">• Metadata Key-Value Tagging: </w:t>
      </w:r>
      <w:r>
        <w:rPr>
          <w:rFonts w:ascii="Calibri" w:hAnsi="Calibri"/>
          <w:b w:val="0"/>
          <w:color w:val="1E293B"/>
          <w:sz w:val="22"/>
        </w:rPr>
        <w:t>Appends project name, property location, area, and upload timestamp into the Pinata metadata header, enabling structured IPFS cataloging.</w:t>
      </w:r>
    </w:p>
    <w:p>
      <w:pPr>
        <w:pStyle w:val="ListBullet"/>
        <w:spacing w:before="20" w:after="60" w:line="276" w:lineRule="auto"/>
      </w:pPr>
      <w:r>
        <w:rPr>
          <w:rFonts w:ascii="Calibri" w:hAnsi="Calibri"/>
          <w:b/>
          <w:color w:val="0F172A"/>
          <w:sz w:val="22"/>
        </w:rPr>
        <w:t xml:space="preserve">• Dedicated Gateway Resolution: </w:t>
      </w:r>
      <w:r>
        <w:rPr>
          <w:rFonts w:ascii="Calibri" w:hAnsi="Calibri"/>
          <w:b w:val="0"/>
          <w:color w:val="1E293B"/>
          <w:sz w:val="22"/>
        </w:rPr>
        <w:t>Formats raw CIDs into accessible HTTPS gateway endpoints (e.g., https://gateway.pinata.cloud/ipfs/&lt;CID&gt;), enabling one-click browser viewing for evaluators and buyers.</w:t>
      </w:r>
    </w:p>
    <w:p>
      <w:pPr>
        <w:keepNext/>
        <w:spacing w:before="400" w:after="120"/>
      </w:pPr>
      <w:r>
        <w:rPr>
          <w:rFonts w:ascii="Arial" w:hAnsi="Arial"/>
          <w:b/>
          <w:color w:val="059669"/>
          <w:sz w:val="30"/>
        </w:rPr>
        <w:t>5. Web3 Client &amp; Dynamic Role-Based UX Architecture</w:t>
      </w:r>
    </w:p>
    <w:p>
      <w:pPr>
        <w:spacing w:before="0" w:after="120" w:line="276" w:lineRule="auto"/>
      </w:pPr>
      <w:r>
        <w:rPr>
          <w:rFonts w:ascii="Calibri" w:hAnsi="Calibri"/>
          <w:color w:val="1E293B"/>
          <w:sz w:val="22"/>
        </w:rPr>
        <w:t>The user interface (built with React 18, Vite, Tailwind CSS, and Ethers.js v6) automatically queries the connected Ethereum account against the smart contract state to dynamically compute the active persona. There is no hardcoded simulation—all roles are derived from on-chain truth:</w:t>
      </w:r>
    </w:p>
    <w:tbl>
      <w:tblPr>
        <w:tblW w:type="auto" w:w="0"/>
        <w:jc w:val="center"/>
        <w:tblLook w:firstColumn="1" w:firstRow="1" w:lastColumn="0" w:lastRow="0" w:noHBand="0" w:noVBand="1" w:val="04A0"/>
      </w:tblPr>
      <w:tblGrid>
        <w:gridCol w:w="3312"/>
        <w:gridCol w:w="3312"/>
        <w:gridCol w:w="3312"/>
      </w:tblGrid>
      <w:tr>
        <w:tc>
          <w:tcPr>
            <w:tcW w:type="dxa" w:w="2160"/>
            <w:shd w:fill="0F766E"/>
            <w:tcMar>
              <w:top w:w="100" w:type="dxa"/>
              <w:bottom w:w="100" w:type="dxa"/>
              <w:left w:w="120" w:type="dxa"/>
              <w:right w:w="120" w:type="dxa"/>
            </w:tcMar>
          </w:tcPr>
          <w:p>
            <w:pPr>
              <w:spacing w:before="80" w:after="80"/>
            </w:pPr>
            <w:r/>
            <w:r>
              <w:rPr>
                <w:rFonts w:ascii="Arial" w:hAnsi="Arial"/>
                <w:b/>
                <w:color w:val="FFFFFF"/>
                <w:sz w:val="19"/>
              </w:rPr>
              <w:t>Persona Role</w:t>
            </w:r>
          </w:p>
        </w:tc>
        <w:tc>
          <w:tcPr>
            <w:tcW w:type="dxa" w:w="3168"/>
            <w:shd w:fill="0F766E"/>
            <w:tcMar>
              <w:top w:w="100" w:type="dxa"/>
              <w:bottom w:w="100" w:type="dxa"/>
              <w:left w:w="120" w:type="dxa"/>
              <w:right w:w="120" w:type="dxa"/>
            </w:tcMar>
          </w:tcPr>
          <w:p>
            <w:pPr>
              <w:spacing w:before="80" w:after="80"/>
            </w:pPr>
            <w:r/>
            <w:r>
              <w:rPr>
                <w:rFonts w:ascii="Arial" w:hAnsi="Arial"/>
                <w:b/>
                <w:color w:val="FFFFFF"/>
                <w:sz w:val="19"/>
              </w:rPr>
              <w:t>On-Chain Activation Rule</w:t>
            </w:r>
          </w:p>
        </w:tc>
        <w:tc>
          <w:tcPr>
            <w:tcW w:type="dxa" w:w="4464"/>
            <w:shd w:fill="0F766E"/>
            <w:tcMar>
              <w:top w:w="100" w:type="dxa"/>
              <w:bottom w:w="100" w:type="dxa"/>
              <w:left w:w="120" w:type="dxa"/>
              <w:right w:w="120" w:type="dxa"/>
            </w:tcMar>
          </w:tcPr>
          <w:p>
            <w:pPr>
              <w:spacing w:before="80" w:after="80"/>
            </w:pPr>
            <w:r/>
            <w:r>
              <w:rPr>
                <w:rFonts w:ascii="Arial" w:hAnsi="Arial"/>
                <w:b/>
                <w:color w:val="FFFFFF"/>
                <w:sz w:val="19"/>
              </w:rPr>
              <w:t>Accessible UI Views &amp; Actions</w:t>
            </w:r>
          </w:p>
        </w:tc>
      </w:tr>
      <w:tr>
        <w:tc>
          <w:tcPr>
            <w:tcW w:type="dxa" w:w="2160"/>
            <w:shd w:fill="FFFFFF"/>
            <w:tcMar>
              <w:top w:w="80" w:type="dxa"/>
              <w:bottom w:w="80" w:type="dxa"/>
              <w:left w:w="120" w:type="dxa"/>
              <w:right w:w="120" w:type="dxa"/>
            </w:tcMar>
          </w:tcPr>
          <w:p>
            <w:pPr>
              <w:spacing w:before="60" w:after="60"/>
            </w:pPr>
            <w:r/>
            <w:r>
              <w:rPr>
                <w:rFonts w:ascii="Calibri" w:hAnsi="Calibri"/>
                <w:color w:val="1E293B"/>
                <w:sz w:val="19"/>
              </w:rPr>
              <w:t>Admin / Inspector</w:t>
            </w:r>
          </w:p>
        </w:tc>
        <w:tc>
          <w:tcPr>
            <w:tcW w:type="dxa" w:w="3168"/>
            <w:shd w:fill="FFFFFF"/>
            <w:tcMar>
              <w:top w:w="80" w:type="dxa"/>
              <w:bottom w:w="80" w:type="dxa"/>
              <w:left w:w="120" w:type="dxa"/>
              <w:right w:w="120" w:type="dxa"/>
            </w:tcMar>
          </w:tcPr>
          <w:p>
            <w:pPr>
              <w:spacing w:before="60" w:after="60"/>
            </w:pPr>
            <w:r/>
            <w:r>
              <w:rPr>
                <w:rFonts w:ascii="Calibri" w:hAnsi="Calibri"/>
                <w:color w:val="1E293B"/>
                <w:sz w:val="19"/>
              </w:rPr>
              <w:t>Connected wallet address == landRegistry.admin()</w:t>
            </w:r>
          </w:p>
        </w:tc>
        <w:tc>
          <w:tcPr>
            <w:tcW w:type="dxa" w:w="4464"/>
            <w:shd w:fill="FFFFFF"/>
            <w:tcMar>
              <w:top w:w="80" w:type="dxa"/>
              <w:bottom w:w="80" w:type="dxa"/>
              <w:left w:w="120" w:type="dxa"/>
              <w:right w:w="120" w:type="dxa"/>
            </w:tcMar>
          </w:tcPr>
          <w:p>
            <w:pPr>
              <w:spacing w:before="60" w:after="60"/>
            </w:pPr>
            <w:r/>
            <w:r>
              <w:rPr>
                <w:rFonts w:ascii="Calibri" w:hAnsi="Calibri"/>
                <w:color w:val="1E293B"/>
                <w:sz w:val="19"/>
              </w:rPr>
              <w:t>Access to Inspector Panel; ability to review unverified deeds on IPFS and execute on-chain verifyLand() title certification.</w:t>
            </w:r>
          </w:p>
        </w:tc>
      </w:tr>
      <w:tr>
        <w:tc>
          <w:tcPr>
            <w:tcW w:type="dxa" w:w="2160"/>
            <w:shd w:fill="F8FAFC"/>
            <w:tcMar>
              <w:top w:w="80" w:type="dxa"/>
              <w:bottom w:w="80" w:type="dxa"/>
              <w:left w:w="120" w:type="dxa"/>
              <w:right w:w="120" w:type="dxa"/>
            </w:tcMar>
          </w:tcPr>
          <w:p>
            <w:pPr>
              <w:spacing w:before="60" w:after="60"/>
            </w:pPr>
            <w:r/>
            <w:r>
              <w:rPr>
                <w:rFonts w:ascii="Calibri" w:hAnsi="Calibri"/>
                <w:color w:val="1E293B"/>
                <w:sz w:val="19"/>
              </w:rPr>
              <w:t>Verified Owner (&lt;count&gt;)</w:t>
            </w:r>
          </w:p>
        </w:tc>
        <w:tc>
          <w:tcPr>
            <w:tcW w:type="dxa" w:w="3168"/>
            <w:shd w:fill="F8FAFC"/>
            <w:tcMar>
              <w:top w:w="80" w:type="dxa"/>
              <w:bottom w:w="80" w:type="dxa"/>
              <w:left w:w="120" w:type="dxa"/>
              <w:right w:w="120" w:type="dxa"/>
            </w:tcMar>
          </w:tcPr>
          <w:p>
            <w:pPr>
              <w:spacing w:before="60" w:after="60"/>
            </w:pPr>
            <w:r/>
            <w:r>
              <w:rPr>
                <w:rFonts w:ascii="Calibri" w:hAnsi="Calibri"/>
                <w:color w:val="1E293B"/>
                <w:sz w:val="19"/>
              </w:rPr>
              <w:t>Connected wallet holds verified parcels in _ownerLands</w:t>
            </w:r>
          </w:p>
        </w:tc>
        <w:tc>
          <w:tcPr>
            <w:tcW w:type="dxa" w:w="4464"/>
            <w:shd w:fill="F8FAFC"/>
            <w:tcMar>
              <w:top w:w="80" w:type="dxa"/>
              <w:bottom w:w="80" w:type="dxa"/>
              <w:left w:w="120" w:type="dxa"/>
              <w:right w:w="120" w:type="dxa"/>
            </w:tcMar>
          </w:tcPr>
          <w:p>
            <w:pPr>
              <w:spacing w:before="60" w:after="60"/>
            </w:pPr>
            <w:r/>
            <w:r>
              <w:rPr>
                <w:rFonts w:ascii="Calibri" w:hAnsi="Calibri"/>
                <w:color w:val="1E293B"/>
                <w:sz w:val="19"/>
              </w:rPr>
              <w:t>Displays owned parcels in 'My Assets' with active listing controls (price setting in ETH) and delisting buttons.</w:t>
            </w:r>
          </w:p>
        </w:tc>
      </w:tr>
      <w:tr>
        <w:tc>
          <w:tcPr>
            <w:tcW w:type="dxa" w:w="2160"/>
            <w:shd w:fill="FFFFFF"/>
            <w:tcMar>
              <w:top w:w="80" w:type="dxa"/>
              <w:bottom w:w="80" w:type="dxa"/>
              <w:left w:w="120" w:type="dxa"/>
              <w:right w:w="120" w:type="dxa"/>
            </w:tcMar>
          </w:tcPr>
          <w:p>
            <w:pPr>
              <w:spacing w:before="60" w:after="60"/>
            </w:pPr>
            <w:r/>
            <w:r>
              <w:rPr>
                <w:rFonts w:ascii="Calibri" w:hAnsi="Calibri"/>
                <w:color w:val="1E293B"/>
                <w:sz w:val="19"/>
              </w:rPr>
              <w:t>Buyer / Citizen</w:t>
            </w:r>
          </w:p>
        </w:tc>
        <w:tc>
          <w:tcPr>
            <w:tcW w:type="dxa" w:w="3168"/>
            <w:shd w:fill="FFFFFF"/>
            <w:tcMar>
              <w:top w:w="80" w:type="dxa"/>
              <w:bottom w:w="80" w:type="dxa"/>
              <w:left w:w="120" w:type="dxa"/>
              <w:right w:w="120" w:type="dxa"/>
            </w:tcMar>
          </w:tcPr>
          <w:p>
            <w:pPr>
              <w:spacing w:before="60" w:after="60"/>
            </w:pPr>
            <w:r/>
            <w:r>
              <w:rPr>
                <w:rFonts w:ascii="Calibri" w:hAnsi="Calibri"/>
                <w:color w:val="1E293B"/>
                <w:sz w:val="19"/>
              </w:rPr>
              <w:t>Default wallet state (no admin rights, exploring)</w:t>
            </w:r>
          </w:p>
        </w:tc>
        <w:tc>
          <w:tcPr>
            <w:tcW w:type="dxa" w:w="4464"/>
            <w:shd w:fill="FFFFFF"/>
            <w:tcMar>
              <w:top w:w="80" w:type="dxa"/>
              <w:bottom w:w="80" w:type="dxa"/>
              <w:left w:w="120" w:type="dxa"/>
              <w:right w:w="120" w:type="dxa"/>
            </w:tcMar>
          </w:tcPr>
          <w:p>
            <w:pPr>
              <w:spacing w:before="60" w:after="60"/>
            </w:pPr>
            <w:r/>
            <w:r>
              <w:rPr>
                <w:rFonts w:ascii="Calibri" w:hAnsi="Calibri"/>
                <w:color w:val="1E293B"/>
                <w:sz w:val="19"/>
              </w:rPr>
              <w:t>Browses verified listings in 'Explore Marketplace', reviews deed documents on IPFS, and triggers atomic buyLand() purchases.</w:t>
            </w:r>
          </w:p>
        </w:tc>
      </w:tr>
    </w:tbl>
    <w:p>
      <w:pPr>
        <w:spacing w:after="120"/>
      </w:pPr>
    </w:p>
    <w:p>
      <w:pPr>
        <w:keepNext/>
        <w:spacing w:before="280" w:after="80"/>
      </w:pPr>
      <w:r>
        <w:rPr>
          <w:rFonts w:ascii="Calibri" w:hAnsi="Calibri"/>
          <w:b/>
          <w:color w:val="0F172A"/>
          <w:sz w:val="25"/>
        </w:rPr>
        <w:t>Real-Time Transaction Status Toasts</w:t>
      </w:r>
    </w:p>
    <w:p>
      <w:pPr>
        <w:spacing w:before="0" w:after="120" w:line="276" w:lineRule="auto"/>
      </w:pPr>
      <w:r>
        <w:rPr>
          <w:rFonts w:ascii="Calibri" w:hAnsi="Calibri"/>
          <w:color w:val="1E293B"/>
          <w:sz w:val="22"/>
        </w:rPr>
        <w:t>To provide clear Web3 UX feedback, TerraChain features a floating transaction alert banner that transitions through three explicit states:</w:t>
      </w:r>
    </w:p>
    <w:p>
      <w:pPr>
        <w:pStyle w:val="ListBullet"/>
        <w:spacing w:before="20" w:after="60" w:line="276" w:lineRule="auto"/>
      </w:pPr>
      <w:r>
        <w:rPr>
          <w:rFonts w:ascii="Calibri" w:hAnsi="Calibri"/>
          <w:b/>
          <w:color w:val="0F172A"/>
          <w:sz w:val="22"/>
        </w:rPr>
        <w:t xml:space="preserve">• Pending (Blue with Spinner): </w:t>
      </w:r>
      <w:r>
        <w:rPr>
          <w:rFonts w:ascii="Calibri" w:hAnsi="Calibri"/>
          <w:b w:val="0"/>
          <w:color w:val="1E293B"/>
          <w:sz w:val="22"/>
        </w:rPr>
        <w:t>Notifies the user that the transaction has been broadcast to the mempool, displaying the truncated transaction hash.</w:t>
      </w:r>
    </w:p>
    <w:p>
      <w:pPr>
        <w:pStyle w:val="ListBullet"/>
        <w:spacing w:before="20" w:after="60" w:line="276" w:lineRule="auto"/>
      </w:pPr>
      <w:r>
        <w:rPr>
          <w:rFonts w:ascii="Calibri" w:hAnsi="Calibri"/>
          <w:b/>
          <w:color w:val="0F172A"/>
          <w:sz w:val="22"/>
        </w:rPr>
        <w:t xml:space="preserve">• Success (Emerald with Checkmark): </w:t>
      </w:r>
      <w:r>
        <w:rPr>
          <w:rFonts w:ascii="Calibri" w:hAnsi="Calibri"/>
          <w:b w:val="0"/>
          <w:color w:val="1E293B"/>
          <w:sz w:val="22"/>
        </w:rPr>
        <w:t>Alerts the user when the transaction is mined into a block, automatically triggering a refresh of on-chain state.</w:t>
      </w:r>
    </w:p>
    <w:p>
      <w:pPr>
        <w:pStyle w:val="ListBullet"/>
        <w:spacing w:before="20" w:after="60" w:line="276" w:lineRule="auto"/>
      </w:pPr>
      <w:r>
        <w:rPr>
          <w:rFonts w:ascii="Calibri" w:hAnsi="Calibri"/>
          <w:b/>
          <w:color w:val="0F172A"/>
          <w:sz w:val="22"/>
        </w:rPr>
        <w:t xml:space="preserve">• Reverted (Red with Alert Circle): </w:t>
      </w:r>
      <w:r>
        <w:rPr>
          <w:rFonts w:ascii="Calibri" w:hAnsi="Calibri"/>
          <w:b w:val="0"/>
          <w:color w:val="1E293B"/>
          <w:sz w:val="22"/>
        </w:rPr>
        <w:t>Captures smart contract custom errors or user wallet rejections, translating cryptic revert bytes into human-readable error messages.</w:t>
      </w:r>
    </w:p>
    <w:p>
      <w:pPr>
        <w:keepNext/>
        <w:spacing w:before="400" w:after="120"/>
      </w:pPr>
      <w:r>
        <w:rPr>
          <w:rFonts w:ascii="Arial" w:hAnsi="Arial"/>
          <w:b/>
          <w:color w:val="059669"/>
          <w:sz w:val="30"/>
        </w:rPr>
        <w:t>6. Automated Testing &amp; Verification Suite</w:t>
      </w:r>
    </w:p>
    <w:p>
      <w:pPr>
        <w:spacing w:before="0" w:after="120" w:line="276" w:lineRule="auto"/>
      </w:pPr>
      <w:r>
        <w:rPr>
          <w:rFonts w:ascii="Calibri" w:hAnsi="Calibri"/>
          <w:color w:val="1E293B"/>
          <w:sz w:val="22"/>
        </w:rPr>
        <w:t>To guarantee mathematical correctness and cryptographic security, TerraChain contains 21 exhaustive automated unit tests in blockchain/test/LandRegistry.test.js executed via the Hardhat Network and Chai assertion library. All 21 tests pass with zero failures.</w:t>
      </w:r>
    </w:p>
    <w:tbl>
      <w:tblPr>
        <w:tblW w:type="auto" w:w="0"/>
        <w:jc w:val="center"/>
        <w:tblLook w:firstColumn="1" w:firstRow="1" w:lastColumn="0" w:lastRow="0" w:noHBand="0" w:noVBand="1" w:val="04A0"/>
      </w:tblPr>
      <w:tblGrid>
        <w:gridCol w:w="3312"/>
        <w:gridCol w:w="3312"/>
        <w:gridCol w:w="3312"/>
      </w:tblGrid>
      <w:tr>
        <w:tc>
          <w:tcPr>
            <w:tcW w:type="dxa" w:w="2592"/>
            <w:shd w:fill="0F766E"/>
            <w:tcMar>
              <w:top w:w="100" w:type="dxa"/>
              <w:bottom w:w="100" w:type="dxa"/>
              <w:left w:w="120" w:type="dxa"/>
              <w:right w:w="120" w:type="dxa"/>
            </w:tcMar>
          </w:tcPr>
          <w:p>
            <w:pPr>
              <w:spacing w:before="80" w:after="80"/>
            </w:pPr>
            <w:r/>
            <w:r>
              <w:rPr>
                <w:rFonts w:ascii="Arial" w:hAnsi="Arial"/>
                <w:b/>
                <w:color w:val="FFFFFF"/>
                <w:sz w:val="19"/>
              </w:rPr>
              <w:t>Test Suite Category</w:t>
            </w:r>
          </w:p>
        </w:tc>
        <w:tc>
          <w:tcPr>
            <w:tcW w:type="dxa" w:w="1728"/>
            <w:shd w:fill="0F766E"/>
            <w:tcMar>
              <w:top w:w="100" w:type="dxa"/>
              <w:bottom w:w="100" w:type="dxa"/>
              <w:left w:w="120" w:type="dxa"/>
              <w:right w:w="120" w:type="dxa"/>
            </w:tcMar>
          </w:tcPr>
          <w:p>
            <w:pPr>
              <w:spacing w:before="80" w:after="80"/>
            </w:pPr>
            <w:r/>
            <w:r>
              <w:rPr>
                <w:rFonts w:ascii="Arial" w:hAnsi="Arial"/>
                <w:b/>
                <w:color w:val="FFFFFF"/>
                <w:sz w:val="19"/>
              </w:rPr>
              <w:t>Test Cases Count</w:t>
            </w:r>
          </w:p>
        </w:tc>
        <w:tc>
          <w:tcPr>
            <w:tcW w:type="dxa" w:w="5472"/>
            <w:shd w:fill="0F766E"/>
            <w:tcMar>
              <w:top w:w="100" w:type="dxa"/>
              <w:bottom w:w="100" w:type="dxa"/>
              <w:left w:w="120" w:type="dxa"/>
              <w:right w:w="120" w:type="dxa"/>
            </w:tcMar>
          </w:tcPr>
          <w:p>
            <w:pPr>
              <w:spacing w:before="80" w:after="80"/>
            </w:pPr>
            <w:r/>
            <w:r>
              <w:rPr>
                <w:rFonts w:ascii="Arial" w:hAnsi="Arial"/>
                <w:b/>
                <w:color w:val="FFFFFF"/>
                <w:sz w:val="19"/>
              </w:rPr>
              <w:t>Key Test Assertions &amp; Invariants Verified</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1. Deployment &amp; Roles</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2 Tests</w:t>
            </w:r>
          </w:p>
        </w:tc>
        <w:tc>
          <w:tcPr>
            <w:tcW w:type="dxa" w:w="5472"/>
            <w:shd w:fill="FFFFFF"/>
            <w:tcMar>
              <w:top w:w="80" w:type="dxa"/>
              <w:bottom w:w="80" w:type="dxa"/>
              <w:left w:w="120" w:type="dxa"/>
              <w:right w:w="120" w:type="dxa"/>
            </w:tcMar>
          </w:tcPr>
          <w:p>
            <w:pPr>
              <w:spacing w:before="60" w:after="60"/>
            </w:pPr>
            <w:r/>
            <w:r>
              <w:rPr>
                <w:rFonts w:ascii="Calibri" w:hAnsi="Calibri"/>
                <w:color w:val="1E293B"/>
                <w:sz w:val="19"/>
              </w:rPr>
              <w:t>Asserts deployer address is correctly initialized as immutable admin; verifies initial total registered parcels is 0.</w:t>
            </w:r>
          </w:p>
        </w:tc>
      </w:tr>
      <w:tr>
        <w:tc>
          <w:tcPr>
            <w:tcW w:type="dxa" w:w="2592"/>
            <w:shd w:fill="F8FAFC"/>
            <w:tcMar>
              <w:top w:w="80" w:type="dxa"/>
              <w:bottom w:w="80" w:type="dxa"/>
              <w:left w:w="120" w:type="dxa"/>
              <w:right w:w="120" w:type="dxa"/>
            </w:tcMar>
          </w:tcPr>
          <w:p>
            <w:pPr>
              <w:spacing w:before="60" w:after="60"/>
            </w:pPr>
            <w:r/>
            <w:r>
              <w:rPr>
                <w:rFonts w:ascii="Calibri" w:hAnsi="Calibri"/>
                <w:color w:val="1E293B"/>
                <w:sz w:val="19"/>
              </w:rPr>
              <w:t>2. Land Registration</w:t>
            </w:r>
          </w:p>
        </w:tc>
        <w:tc>
          <w:tcPr>
            <w:tcW w:type="dxa" w:w="1728"/>
            <w:shd w:fill="F8FAFC"/>
            <w:tcMar>
              <w:top w:w="80" w:type="dxa"/>
              <w:bottom w:w="80" w:type="dxa"/>
              <w:left w:w="120" w:type="dxa"/>
              <w:right w:w="120" w:type="dxa"/>
            </w:tcMar>
          </w:tcPr>
          <w:p>
            <w:pPr>
              <w:spacing w:before="60" w:after="60"/>
            </w:pPr>
            <w:r/>
            <w:r>
              <w:rPr>
                <w:rFonts w:ascii="Calibri" w:hAnsi="Calibri"/>
                <w:color w:val="1E293B"/>
                <w:sz w:val="19"/>
              </w:rPr>
              <w:t>4 Tests</w:t>
            </w:r>
          </w:p>
        </w:tc>
        <w:tc>
          <w:tcPr>
            <w:tcW w:type="dxa" w:w="5472"/>
            <w:shd w:fill="F8FAFC"/>
            <w:tcMar>
              <w:top w:w="80" w:type="dxa"/>
              <w:bottom w:w="80" w:type="dxa"/>
              <w:left w:w="120" w:type="dxa"/>
              <w:right w:w="120" w:type="dxa"/>
            </w:tcMar>
          </w:tcPr>
          <w:p>
            <w:pPr>
              <w:spacing w:before="60" w:after="60"/>
            </w:pPr>
            <w:r/>
            <w:r>
              <w:rPr>
                <w:rFonts w:ascii="Calibri" w:hAnsi="Calibri"/>
                <w:color w:val="1E293B"/>
                <w:sz w:val="19"/>
              </w:rPr>
              <w:t>Validates successful registration; asserts isVerified=false and isForSale=false; reverts on empty physical address, zero area, or missing IPFS hash.</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3. Admin Title Verification</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4 Tests</w:t>
            </w:r>
          </w:p>
        </w:tc>
        <w:tc>
          <w:tcPr>
            <w:tcW w:type="dxa" w:w="5472"/>
            <w:shd w:fill="FFFFFF"/>
            <w:tcMar>
              <w:top w:w="80" w:type="dxa"/>
              <w:bottom w:w="80" w:type="dxa"/>
              <w:left w:w="120" w:type="dxa"/>
              <w:right w:w="120" w:type="dxa"/>
            </w:tcMar>
          </w:tcPr>
          <w:p>
            <w:pPr>
              <w:spacing w:before="60" w:after="60"/>
            </w:pPr>
            <w:r/>
            <w:r>
              <w:rPr>
                <w:rFonts w:ascii="Calibri" w:hAnsi="Calibri"/>
                <w:color w:val="1E293B"/>
                <w:sz w:val="19"/>
              </w:rPr>
              <w:t>Verifies LandVerified event emission; asserts only admin can verify; reverts duplicate verification; reverts on non-existent parcel ID.</w:t>
            </w:r>
          </w:p>
        </w:tc>
      </w:tr>
      <w:tr>
        <w:tc>
          <w:tcPr>
            <w:tcW w:type="dxa" w:w="2592"/>
            <w:shd w:fill="F8FAFC"/>
            <w:tcMar>
              <w:top w:w="80" w:type="dxa"/>
              <w:bottom w:w="80" w:type="dxa"/>
              <w:left w:w="120" w:type="dxa"/>
              <w:right w:w="120" w:type="dxa"/>
            </w:tcMar>
          </w:tcPr>
          <w:p>
            <w:pPr>
              <w:spacing w:before="60" w:after="60"/>
            </w:pPr>
            <w:r/>
            <w:r>
              <w:rPr>
                <w:rFonts w:ascii="Calibri" w:hAnsi="Calibri"/>
                <w:color w:val="1E293B"/>
                <w:sz w:val="19"/>
              </w:rPr>
              <w:t>4. Marketplace Listing</w:t>
            </w:r>
          </w:p>
        </w:tc>
        <w:tc>
          <w:tcPr>
            <w:tcW w:type="dxa" w:w="1728"/>
            <w:shd w:fill="F8FAFC"/>
            <w:tcMar>
              <w:top w:w="80" w:type="dxa"/>
              <w:bottom w:w="80" w:type="dxa"/>
              <w:left w:w="120" w:type="dxa"/>
              <w:right w:w="120" w:type="dxa"/>
            </w:tcMar>
          </w:tcPr>
          <w:p>
            <w:pPr>
              <w:spacing w:before="60" w:after="60"/>
            </w:pPr>
            <w:r/>
            <w:r>
              <w:rPr>
                <w:rFonts w:ascii="Calibri" w:hAnsi="Calibri"/>
                <w:color w:val="1E293B"/>
                <w:sz w:val="19"/>
              </w:rPr>
              <w:t>5 Tests</w:t>
            </w:r>
          </w:p>
        </w:tc>
        <w:tc>
          <w:tcPr>
            <w:tcW w:type="dxa" w:w="5472"/>
            <w:shd w:fill="F8FAFC"/>
            <w:tcMar>
              <w:top w:w="80" w:type="dxa"/>
              <w:bottom w:w="80" w:type="dxa"/>
              <w:left w:w="120" w:type="dxa"/>
              <w:right w:w="120" w:type="dxa"/>
            </w:tcMar>
          </w:tcPr>
          <w:p>
            <w:pPr>
              <w:spacing w:before="60" w:after="60"/>
            </w:pPr>
            <w:r/>
            <w:r>
              <w:rPr>
                <w:rFonts w:ascii="Calibri" w:hAnsi="Calibri"/>
                <w:color w:val="1E293B"/>
                <w:sz w:val="19"/>
              </w:rPr>
              <w:t>Reverts listing unverified land; reverts non-owner listing; reverts zero price; asserts LandListed event; asserts LandDelisted event; reverts delisting unlisted land.</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5. Purchase &amp; Escrow Settlement</w:t>
            </w:r>
          </w:p>
        </w:tc>
        <w:tc>
          <w:tcPr>
            <w:tcW w:type="dxa" w:w="1728"/>
            <w:shd w:fill="FFFFFF"/>
            <w:tcMar>
              <w:top w:w="80" w:type="dxa"/>
              <w:bottom w:w="80" w:type="dxa"/>
              <w:left w:w="120" w:type="dxa"/>
              <w:right w:w="120" w:type="dxa"/>
            </w:tcMar>
          </w:tcPr>
          <w:p>
            <w:pPr>
              <w:spacing w:before="60" w:after="60"/>
            </w:pPr>
            <w:r/>
            <w:r>
              <w:rPr>
                <w:rFonts w:ascii="Calibri" w:hAnsi="Calibri"/>
                <w:color w:val="1E293B"/>
                <w:sz w:val="19"/>
              </w:rPr>
              <w:t>6 Tests</w:t>
            </w:r>
          </w:p>
        </w:tc>
        <w:tc>
          <w:tcPr>
            <w:tcW w:type="dxa" w:w="5472"/>
            <w:shd w:fill="FFFFFF"/>
            <w:tcMar>
              <w:top w:w="80" w:type="dxa"/>
              <w:bottom w:w="80" w:type="dxa"/>
              <w:left w:w="120" w:type="dxa"/>
              <w:right w:w="120" w:type="dxa"/>
            </w:tcMar>
          </w:tcPr>
          <w:p>
            <w:pPr>
              <w:spacing w:before="60" w:after="60"/>
            </w:pPr>
            <w:r/>
            <w:r>
              <w:rPr>
                <w:rFonts w:ascii="Calibri" w:hAnsi="Calibri"/>
                <w:color w:val="1E293B"/>
                <w:sz w:val="19"/>
              </w:rPr>
              <w:t>Reverts purchase if unlisted; reverts self-purchase; reverts underpayment; asserts seller balance increase == exact price; asserts title reassignment; asserts excess ETH refund.</w:t>
            </w:r>
          </w:p>
        </w:tc>
      </w:tr>
    </w:tbl>
    <w:p>
      <w:pPr>
        <w:spacing w:after="120"/>
      </w:pPr>
    </w:p>
    <w:p>
      <w:pPr>
        <w:keepNext/>
        <w:spacing w:before="400" w:after="120"/>
      </w:pPr>
      <w:r>
        <w:rPr>
          <w:rFonts w:ascii="Arial" w:hAnsi="Arial"/>
          <w:b/>
          <w:color w:val="059669"/>
          <w:sz w:val="30"/>
        </w:rPr>
        <w:t>7. Multi-Wallet Live Demonstration Walkthrough</w:t>
      </w:r>
    </w:p>
    <w:p>
      <w:pPr>
        <w:spacing w:before="0" w:after="120" w:line="276" w:lineRule="auto"/>
      </w:pPr>
      <w:r>
        <w:rPr>
          <w:rFonts w:ascii="Calibri" w:hAnsi="Calibri"/>
          <w:color w:val="1E293B"/>
          <w:sz w:val="22"/>
        </w:rPr>
        <w:t>The system can be fully demonstrated on a local machine using three distinct test accounts provided by the Hardhat development node:</w:t>
      </w:r>
    </w:p>
    <w:tbl>
      <w:tblPr>
        <w:tblW w:type="auto" w:w="0"/>
        <w:jc w:val="center"/>
        <w:tblLook w:firstColumn="1" w:firstRow="1" w:lastColumn="0" w:lastRow="0" w:noHBand="0" w:noVBand="1" w:val="04A0"/>
      </w:tblPr>
      <w:tblGrid>
        <w:gridCol w:w="3312"/>
        <w:gridCol w:w="3312"/>
        <w:gridCol w:w="3312"/>
      </w:tblGrid>
      <w:tr>
        <w:tc>
          <w:tcPr>
            <w:tcW w:type="dxa" w:w="2592"/>
            <w:shd w:fill="0F766E"/>
            <w:tcMar>
              <w:top w:w="100" w:type="dxa"/>
              <w:bottom w:w="100" w:type="dxa"/>
              <w:left w:w="120" w:type="dxa"/>
              <w:right w:w="120" w:type="dxa"/>
            </w:tcMar>
          </w:tcPr>
          <w:p>
            <w:pPr>
              <w:spacing w:before="80" w:after="80"/>
            </w:pPr>
            <w:r/>
            <w:r>
              <w:rPr>
                <w:rFonts w:ascii="Arial" w:hAnsi="Arial"/>
                <w:b/>
                <w:color w:val="FFFFFF"/>
                <w:sz w:val="19"/>
              </w:rPr>
              <w:t>Account Role</w:t>
            </w:r>
          </w:p>
        </w:tc>
        <w:tc>
          <w:tcPr>
            <w:tcW w:type="dxa" w:w="3600"/>
            <w:shd w:fill="0F766E"/>
            <w:tcMar>
              <w:top w:w="100" w:type="dxa"/>
              <w:bottom w:w="100" w:type="dxa"/>
              <w:left w:w="120" w:type="dxa"/>
              <w:right w:w="120" w:type="dxa"/>
            </w:tcMar>
          </w:tcPr>
          <w:p>
            <w:pPr>
              <w:spacing w:before="80" w:after="80"/>
            </w:pPr>
            <w:r/>
            <w:r>
              <w:rPr>
                <w:rFonts w:ascii="Arial" w:hAnsi="Arial"/>
                <w:b/>
                <w:color w:val="FFFFFF"/>
                <w:sz w:val="19"/>
              </w:rPr>
              <w:t>Public Ethereum Address</w:t>
            </w:r>
          </w:p>
        </w:tc>
        <w:tc>
          <w:tcPr>
            <w:tcW w:type="dxa" w:w="3600"/>
            <w:shd w:fill="0F766E"/>
            <w:tcMar>
              <w:top w:w="100" w:type="dxa"/>
              <w:bottom w:w="100" w:type="dxa"/>
              <w:left w:w="120" w:type="dxa"/>
              <w:right w:w="120" w:type="dxa"/>
            </w:tcMar>
          </w:tcPr>
          <w:p>
            <w:pPr>
              <w:spacing w:before="80" w:after="80"/>
            </w:pPr>
            <w:r/>
            <w:r>
              <w:rPr>
                <w:rFonts w:ascii="Arial" w:hAnsi="Arial"/>
                <w:b/>
                <w:color w:val="FFFFFF"/>
                <w:sz w:val="19"/>
              </w:rPr>
              <w:t>Hardhat Private Key (Import into MetaMask)</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Account #0: Admin / Inspector</w:t>
            </w:r>
          </w:p>
        </w:tc>
        <w:tc>
          <w:tcPr>
            <w:tcW w:type="dxa" w:w="3600"/>
            <w:shd w:fill="FFFFFF"/>
            <w:tcMar>
              <w:top w:w="80" w:type="dxa"/>
              <w:bottom w:w="80" w:type="dxa"/>
              <w:left w:w="120" w:type="dxa"/>
              <w:right w:w="120" w:type="dxa"/>
            </w:tcMar>
          </w:tcPr>
          <w:p>
            <w:pPr>
              <w:spacing w:before="60" w:after="60"/>
            </w:pPr>
            <w:r/>
            <w:r>
              <w:rPr>
                <w:rFonts w:ascii="Calibri" w:hAnsi="Calibri"/>
                <w:color w:val="1E293B"/>
                <w:sz w:val="19"/>
              </w:rPr>
              <w:t>0xf39Fd6e51aad88F6F4ce6aB8827279cffFb92266</w:t>
            </w:r>
          </w:p>
        </w:tc>
        <w:tc>
          <w:tcPr>
            <w:tcW w:type="dxa" w:w="3600"/>
            <w:shd w:fill="FFFFFF"/>
            <w:tcMar>
              <w:top w:w="80" w:type="dxa"/>
              <w:bottom w:w="80" w:type="dxa"/>
              <w:left w:w="120" w:type="dxa"/>
              <w:right w:w="120" w:type="dxa"/>
            </w:tcMar>
          </w:tcPr>
          <w:p>
            <w:pPr>
              <w:spacing w:before="60" w:after="60"/>
            </w:pPr>
            <w:r/>
            <w:r>
              <w:rPr>
                <w:rFonts w:ascii="Calibri" w:hAnsi="Calibri"/>
                <w:color w:val="1E293B"/>
                <w:sz w:val="19"/>
              </w:rPr>
              <w:t>0xac0974bec39a17e36ba4a6b4d238ff944bacb478cbed5efcae784d7bf4f2ff80</w:t>
            </w:r>
          </w:p>
        </w:tc>
      </w:tr>
      <w:tr>
        <w:tc>
          <w:tcPr>
            <w:tcW w:type="dxa" w:w="2592"/>
            <w:shd w:fill="F8FAFC"/>
            <w:tcMar>
              <w:top w:w="80" w:type="dxa"/>
              <w:bottom w:w="80" w:type="dxa"/>
              <w:left w:w="120" w:type="dxa"/>
              <w:right w:w="120" w:type="dxa"/>
            </w:tcMar>
          </w:tcPr>
          <w:p>
            <w:pPr>
              <w:spacing w:before="60" w:after="60"/>
            </w:pPr>
            <w:r/>
            <w:r>
              <w:rPr>
                <w:rFonts w:ascii="Calibri" w:hAnsi="Calibri"/>
                <w:color w:val="1E293B"/>
                <w:sz w:val="19"/>
              </w:rPr>
              <w:t>Account #1: Seller / Owner</w:t>
            </w:r>
          </w:p>
        </w:tc>
        <w:tc>
          <w:tcPr>
            <w:tcW w:type="dxa" w:w="3600"/>
            <w:shd w:fill="F8FAFC"/>
            <w:tcMar>
              <w:top w:w="80" w:type="dxa"/>
              <w:bottom w:w="80" w:type="dxa"/>
              <w:left w:w="120" w:type="dxa"/>
              <w:right w:w="120" w:type="dxa"/>
            </w:tcMar>
          </w:tcPr>
          <w:p>
            <w:pPr>
              <w:spacing w:before="60" w:after="60"/>
            </w:pPr>
            <w:r/>
            <w:r>
              <w:rPr>
                <w:rFonts w:ascii="Calibri" w:hAnsi="Calibri"/>
                <w:color w:val="1E293B"/>
                <w:sz w:val="19"/>
              </w:rPr>
              <w:t>0x70997970C51812dc3A010C7d01b50e0d17dc79C8</w:t>
            </w:r>
          </w:p>
        </w:tc>
        <w:tc>
          <w:tcPr>
            <w:tcW w:type="dxa" w:w="3600"/>
            <w:shd w:fill="F8FAFC"/>
            <w:tcMar>
              <w:top w:w="80" w:type="dxa"/>
              <w:bottom w:w="80" w:type="dxa"/>
              <w:left w:w="120" w:type="dxa"/>
              <w:right w:w="120" w:type="dxa"/>
            </w:tcMar>
          </w:tcPr>
          <w:p>
            <w:pPr>
              <w:spacing w:before="60" w:after="60"/>
            </w:pPr>
            <w:r/>
            <w:r>
              <w:rPr>
                <w:rFonts w:ascii="Calibri" w:hAnsi="Calibri"/>
                <w:color w:val="1E293B"/>
                <w:sz w:val="19"/>
              </w:rPr>
              <w:t>0x59c6995e998f97a5a0044966f0945389dc9e86dae88c7a8412f4603b6b78690d</w:t>
            </w:r>
          </w:p>
        </w:tc>
      </w:tr>
      <w:tr>
        <w:tc>
          <w:tcPr>
            <w:tcW w:type="dxa" w:w="2592"/>
            <w:shd w:fill="FFFFFF"/>
            <w:tcMar>
              <w:top w:w="80" w:type="dxa"/>
              <w:bottom w:w="80" w:type="dxa"/>
              <w:left w:w="120" w:type="dxa"/>
              <w:right w:w="120" w:type="dxa"/>
            </w:tcMar>
          </w:tcPr>
          <w:p>
            <w:pPr>
              <w:spacing w:before="60" w:after="60"/>
            </w:pPr>
            <w:r/>
            <w:r>
              <w:rPr>
                <w:rFonts w:ascii="Calibri" w:hAnsi="Calibri"/>
                <w:color w:val="1E293B"/>
                <w:sz w:val="19"/>
              </w:rPr>
              <w:t>Account #2: Buyer</w:t>
            </w:r>
          </w:p>
        </w:tc>
        <w:tc>
          <w:tcPr>
            <w:tcW w:type="dxa" w:w="3600"/>
            <w:shd w:fill="FFFFFF"/>
            <w:tcMar>
              <w:top w:w="80" w:type="dxa"/>
              <w:bottom w:w="80" w:type="dxa"/>
              <w:left w:w="120" w:type="dxa"/>
              <w:right w:w="120" w:type="dxa"/>
            </w:tcMar>
          </w:tcPr>
          <w:p>
            <w:pPr>
              <w:spacing w:before="60" w:after="60"/>
            </w:pPr>
            <w:r/>
            <w:r>
              <w:rPr>
                <w:rFonts w:ascii="Calibri" w:hAnsi="Calibri"/>
                <w:color w:val="1E293B"/>
                <w:sz w:val="19"/>
              </w:rPr>
              <w:t>0x3C44CdDdB6a900fa2b585dd299e03d12FA4293BC</w:t>
            </w:r>
          </w:p>
        </w:tc>
        <w:tc>
          <w:tcPr>
            <w:tcW w:type="dxa" w:w="3600"/>
            <w:shd w:fill="FFFFFF"/>
            <w:tcMar>
              <w:top w:w="80" w:type="dxa"/>
              <w:bottom w:w="80" w:type="dxa"/>
              <w:left w:w="120" w:type="dxa"/>
              <w:right w:w="120" w:type="dxa"/>
            </w:tcMar>
          </w:tcPr>
          <w:p>
            <w:pPr>
              <w:spacing w:before="60" w:after="60"/>
            </w:pPr>
            <w:r/>
            <w:r>
              <w:rPr>
                <w:rFonts w:ascii="Calibri" w:hAnsi="Calibri"/>
                <w:color w:val="1E293B"/>
                <w:sz w:val="19"/>
              </w:rPr>
              <w:t>0x5de4111afa1a4b94908f83103eb1f1706367c2e68ca870fc3fb9a804cdab365a</w:t>
            </w:r>
          </w:p>
        </w:tc>
      </w:tr>
    </w:tbl>
    <w:p>
      <w:pPr>
        <w:spacing w:after="120"/>
      </w:pPr>
    </w:p>
    <w:p>
      <w:pPr>
        <w:keepNext/>
        <w:spacing w:before="280" w:after="80"/>
      </w:pPr>
      <w:r>
        <w:rPr>
          <w:rFonts w:ascii="Calibri" w:hAnsi="Calibri"/>
          <w:b/>
          <w:color w:val="0F172A"/>
          <w:sz w:val="25"/>
        </w:rPr>
        <w:t>Demonstration Execution Steps</w:t>
      </w:r>
    </w:p>
    <w:p>
      <w:pPr>
        <w:pStyle w:val="ListBullet"/>
        <w:spacing w:before="20" w:after="60" w:line="276" w:lineRule="auto"/>
      </w:pPr>
      <w:r>
        <w:rPr>
          <w:rFonts w:ascii="Calibri" w:hAnsi="Calibri"/>
          <w:b/>
          <w:color w:val="0F172A"/>
          <w:sz w:val="22"/>
        </w:rPr>
        <w:t xml:space="preserve">Step 1: Service Initialization: </w:t>
      </w:r>
      <w:r>
        <w:rPr>
          <w:rFonts w:ascii="Calibri" w:hAnsi="Calibri"/>
          <w:b w:val="0"/>
          <w:color w:val="1E293B"/>
          <w:sz w:val="22"/>
        </w:rPr>
        <w:t>Start local node (npx hardhat node in blockchain/), deploy contract and auto-sync ABI (npx hardhat run scripts/deploy.js --network localhost), launch React UI (npm run dev in frontend/).</w:t>
      </w:r>
    </w:p>
    <w:p>
      <w:pPr>
        <w:pStyle w:val="ListBullet"/>
        <w:spacing w:before="20" w:after="60" w:line="276" w:lineRule="auto"/>
      </w:pPr>
      <w:r>
        <w:rPr>
          <w:rFonts w:ascii="Calibri" w:hAnsi="Calibri"/>
          <w:b/>
          <w:color w:val="0F172A"/>
          <w:sz w:val="22"/>
        </w:rPr>
        <w:t xml:space="preserve">Step 2: Property Registration (Seller): </w:t>
      </w:r>
      <w:r>
        <w:rPr>
          <w:rFonts w:ascii="Calibri" w:hAnsi="Calibri"/>
          <w:b w:val="0"/>
          <w:color w:val="1E293B"/>
          <w:sz w:val="22"/>
        </w:rPr>
        <w:t>Connect MetaMask with Account #1. Open 'Register Property'. Upload deed document to Pinata IPFS. Set address and area. Submit on-chain. Parcel enters unverified state.</w:t>
      </w:r>
    </w:p>
    <w:p>
      <w:pPr>
        <w:pStyle w:val="ListBullet"/>
        <w:spacing w:before="20" w:after="60" w:line="276" w:lineRule="auto"/>
      </w:pPr>
      <w:r>
        <w:rPr>
          <w:rFonts w:ascii="Calibri" w:hAnsi="Calibri"/>
          <w:b/>
          <w:color w:val="0F172A"/>
          <w:sz w:val="22"/>
        </w:rPr>
        <w:t xml:space="preserve">Step 3: Inspector Audit &amp; Verification (Admin): </w:t>
      </w:r>
      <w:r>
        <w:rPr>
          <w:rFonts w:ascii="Calibri" w:hAnsi="Calibri"/>
          <w:b w:val="0"/>
          <w:color w:val="1E293B"/>
          <w:sz w:val="22"/>
        </w:rPr>
        <w:t>Switch MetaMask to Account #0. Notice navbar role updates to 'Admin / Inspector'. Navigate to 'Inspector Panel'. Click IPFS link to inspect deed. Click 'Verify Title'.</w:t>
      </w:r>
    </w:p>
    <w:p>
      <w:pPr>
        <w:pStyle w:val="ListBullet"/>
        <w:spacing w:before="20" w:after="60" w:line="276" w:lineRule="auto"/>
      </w:pPr>
      <w:r>
        <w:rPr>
          <w:rFonts w:ascii="Calibri" w:hAnsi="Calibri"/>
          <w:b/>
          <w:color w:val="0F172A"/>
          <w:sz w:val="22"/>
        </w:rPr>
        <w:t xml:space="preserve">Step 4: Marketplace Listing (Seller): </w:t>
      </w:r>
      <w:r>
        <w:rPr>
          <w:rFonts w:ascii="Calibri" w:hAnsi="Calibri"/>
          <w:b w:val="0"/>
          <w:color w:val="1E293B"/>
          <w:sz w:val="22"/>
        </w:rPr>
        <w:t>Switch back to Account #1. Navbar displays 'Verified Owner (1)'. Navigate to 'My Assets'. Click 'List for Sale' and enter asking price (e.g. 2.5 ETH).</w:t>
      </w:r>
    </w:p>
    <w:p>
      <w:pPr>
        <w:pStyle w:val="ListBullet"/>
        <w:spacing w:before="20" w:after="60" w:line="276" w:lineRule="auto"/>
      </w:pPr>
      <w:r>
        <w:rPr>
          <w:rFonts w:ascii="Calibri" w:hAnsi="Calibri"/>
          <w:b/>
          <w:color w:val="0F172A"/>
          <w:sz w:val="22"/>
        </w:rPr>
        <w:t xml:space="preserve">Step 5: Atomic Purchase (Buyer): </w:t>
      </w:r>
      <w:r>
        <w:rPr>
          <w:rFonts w:ascii="Calibri" w:hAnsi="Calibri"/>
          <w:b w:val="0"/>
          <w:color w:val="1E293B"/>
          <w:sz w:val="22"/>
        </w:rPr>
        <w:t>Switch to Account #2. Open 'Explore Marketplace'. Click 'Buy Now'. Confirm payment in MetaMask. Demonstrate that Seller balance increases by +2.5 ETH, Buyer receives ownership title, and the parcel automatically delists.</w:t>
      </w:r>
    </w:p>
    <w:p>
      <w:pPr>
        <w:keepNext/>
        <w:spacing w:before="400" w:after="120"/>
      </w:pPr>
      <w:r>
        <w:rPr>
          <w:rFonts w:ascii="Arial" w:hAnsi="Arial"/>
          <w:b/>
          <w:color w:val="059669"/>
          <w:sz w:val="30"/>
        </w:rPr>
        <w:t>8. Security Threat Modeling &amp; Risk Mitigation</w:t>
      </w:r>
    </w:p>
    <w:p>
      <w:pPr>
        <w:spacing w:before="0" w:after="120" w:line="276" w:lineRule="auto"/>
      </w:pPr>
      <w:r>
        <w:rPr>
          <w:rFonts w:ascii="Calibri" w:hAnsi="Calibri"/>
          <w:color w:val="1E293B"/>
          <w:sz w:val="22"/>
        </w:rPr>
        <w:t>TerraChain is architected against standard blockchain vulnerabilities and real-world attack vectors:</w:t>
      </w:r>
    </w:p>
    <w:p>
      <w:pPr>
        <w:pStyle w:val="ListBullet"/>
        <w:spacing w:before="20" w:after="60" w:line="276" w:lineRule="auto"/>
      </w:pPr>
      <w:r>
        <w:rPr>
          <w:rFonts w:ascii="Calibri" w:hAnsi="Calibri"/>
          <w:b/>
          <w:color w:val="0F172A"/>
          <w:sz w:val="22"/>
        </w:rPr>
        <w:t xml:space="preserve">1. The Oracle Problem (Physical vs On-Chain Discrepancy): </w:t>
      </w:r>
      <w:r>
        <w:rPr>
          <w:rFonts w:ascii="Calibri" w:hAnsi="Calibri"/>
          <w:b w:val="0"/>
          <w:color w:val="1E293B"/>
          <w:sz w:val="22"/>
        </w:rPr>
        <w:t>Blockchain guarantees that data cannot be altered once written, but cannot independently verify if physical land exists in reality. TerraChain resolves this through a Two-Tier Gatekeeper Model: newly registered properties are locked in an unverified state until a certified Government Land Inspector physically inspects boundaries and signs an on-chain verification transaction.</w:t>
      </w:r>
    </w:p>
    <w:p>
      <w:pPr>
        <w:pStyle w:val="ListBullet"/>
        <w:spacing w:before="20" w:after="60" w:line="276" w:lineRule="auto"/>
      </w:pPr>
      <w:r>
        <w:rPr>
          <w:rFonts w:ascii="Calibri" w:hAnsi="Calibri"/>
          <w:b/>
          <w:color w:val="0F172A"/>
          <w:sz w:val="22"/>
        </w:rPr>
        <w:t xml:space="preserve">2. Reentrancy Vulnerabilities: </w:t>
      </w:r>
      <w:r>
        <w:rPr>
          <w:rFonts w:ascii="Calibri" w:hAnsi="Calibri"/>
          <w:b w:val="0"/>
          <w:color w:val="1E293B"/>
          <w:sz w:val="22"/>
        </w:rPr>
        <w:t>Reentrancy occurs when an external call allows a malicious recipient contract to call back into the victim function before internal state updates. TerraChain combines OpenZeppelin's ReentrancyGuard nonReentrant modifier with strict Checks-Effects-Interactions: ownership reassignment and listing state resets are executed before any ETH transfers occur.</w:t>
      </w:r>
    </w:p>
    <w:p>
      <w:pPr>
        <w:pStyle w:val="ListBullet"/>
        <w:spacing w:before="20" w:after="60" w:line="276" w:lineRule="auto"/>
      </w:pPr>
      <w:r>
        <w:rPr>
          <w:rFonts w:ascii="Calibri" w:hAnsi="Calibri"/>
          <w:b/>
          <w:color w:val="0F172A"/>
          <w:sz w:val="22"/>
        </w:rPr>
        <w:t xml:space="preserve">3. Private Key Loss &amp; Inheritance: </w:t>
      </w:r>
      <w:r>
        <w:rPr>
          <w:rFonts w:ascii="Calibri" w:hAnsi="Calibri"/>
          <w:b w:val="0"/>
          <w:color w:val="1E293B"/>
          <w:sz w:val="22"/>
        </w:rPr>
        <w:t>In production deployments, the system can integrate ERC-4337 Account Abstraction and Social Recovery smart contract wallets, allowing designated guardians (e.g., family members, registrar, legal notary) to rotate lost keys upon official probate court proof.</w:t>
      </w:r>
    </w:p>
    <w:p>
      <w:pPr>
        <w:pStyle w:val="ListBullet"/>
        <w:spacing w:before="20" w:after="60" w:line="276" w:lineRule="auto"/>
      </w:pPr>
      <w:r>
        <w:rPr>
          <w:rFonts w:ascii="Calibri" w:hAnsi="Calibri"/>
          <w:b/>
          <w:color w:val="0F172A"/>
          <w:sz w:val="22"/>
        </w:rPr>
        <w:t xml:space="preserve">4. Sybil Attacks &amp; Spam Registration: </w:t>
      </w:r>
      <w:r>
        <w:rPr>
          <w:rFonts w:ascii="Calibri" w:hAnsi="Calibri"/>
          <w:b w:val="0"/>
          <w:color w:val="1E293B"/>
          <w:sz w:val="22"/>
        </w:rPr>
        <w:t>EVM transaction gas fees inherently disincentivize automated bot spamming. Furthermore, unverified registrations cannot enter the marketplace or influence legitimate titles without inspector approval.</w:t>
      </w:r>
    </w:p>
    <w:p>
      <w:pPr>
        <w:keepNext/>
        <w:spacing w:before="400" w:after="120"/>
      </w:pPr>
      <w:r>
        <w:rPr>
          <w:rFonts w:ascii="Arial" w:hAnsi="Arial"/>
          <w:b/>
          <w:color w:val="059669"/>
          <w:sz w:val="30"/>
        </w:rPr>
        <w:t>9. Oral Exam &amp; Technical Viva Defense Guide</w:t>
      </w:r>
    </w:p>
    <w:p>
      <w:pPr>
        <w:keepNext/>
        <w:spacing w:before="280" w:after="80"/>
      </w:pPr>
      <w:r>
        <w:rPr>
          <w:rFonts w:ascii="Calibri" w:hAnsi="Calibri"/>
          <w:b/>
          <w:color w:val="0F172A"/>
          <w:sz w:val="25"/>
        </w:rPr>
        <w:t>Q1: What is the Oracle Problem, and how does TerraChain address it in land titling?</w:t>
      </w:r>
    </w:p>
    <w:p>
      <w:pPr>
        <w:spacing w:before="0" w:after="120" w:line="276" w:lineRule="auto"/>
      </w:pPr>
      <w:r>
        <w:rPr>
          <w:rFonts w:ascii="Calibri" w:hAnsi="Calibri"/>
          <w:color w:val="1E293B"/>
          <w:sz w:val="22"/>
        </w:rPr>
        <w:t>A: The Oracle Problem is the gap between real-world physical reality and on-chain cryptographic state. A blockchain cannot physically inspect whether a seller actually owns the dirt plot. TerraChain resolves this via a two-tier gatekeeper workflow: registrations begin in an unverified quarantine. Only an authorized Government Land Inspector holding the deployer admin key can audit surveyor deeds on IPFS and certify title validity on-chain.</w:t>
      </w:r>
    </w:p>
    <w:p>
      <w:pPr>
        <w:keepNext/>
        <w:spacing w:before="280" w:after="80"/>
      </w:pPr>
      <w:r>
        <w:rPr>
          <w:rFonts w:ascii="Calibri" w:hAnsi="Calibri"/>
          <w:b/>
          <w:color w:val="0F172A"/>
          <w:sz w:val="25"/>
        </w:rPr>
        <w:t>Q2: Why store only the IPFS CID on-chain rather than the entire PDF deed?</w:t>
      </w:r>
    </w:p>
    <w:p>
      <w:pPr>
        <w:spacing w:before="0" w:after="120" w:line="276" w:lineRule="auto"/>
      </w:pPr>
      <w:r>
        <w:rPr>
          <w:rFonts w:ascii="Calibri" w:hAnsi="Calibri"/>
          <w:color w:val="1E293B"/>
          <w:sz w:val="22"/>
        </w:rPr>
        <w:t>A: Ethereum gas economics penalize large data storage (SSTORE opcode). Storing 1 MB on Ethereum can cost thousands of dollars. In contrast, storing the 32-byte IPFS CID costs ~20,000 gas. Because IPFS CIDs are cryptographic content digests, modifying even one pixel in the off-chain PDF completely breaks the hash, guaranteeing tamper-evident integrity at negligible cost.</w:t>
      </w:r>
    </w:p>
    <w:p>
      <w:pPr>
        <w:keepNext/>
        <w:spacing w:before="280" w:after="80"/>
      </w:pPr>
      <w:r>
        <w:rPr>
          <w:rFonts w:ascii="Calibri" w:hAnsi="Calibri"/>
          <w:b/>
          <w:color w:val="0F172A"/>
          <w:sz w:val="25"/>
        </w:rPr>
        <w:t>Q3: How does buyLand() prevent reentrancy attacks during fund transfer?</w:t>
      </w:r>
    </w:p>
    <w:p>
      <w:pPr>
        <w:spacing w:before="0" w:after="120" w:line="276" w:lineRule="auto"/>
      </w:pPr>
      <w:r>
        <w:rPr>
          <w:rFonts w:ascii="Calibri" w:hAnsi="Calibri"/>
          <w:color w:val="1E293B"/>
          <w:sz w:val="22"/>
        </w:rPr>
        <w:t>A: Through two complementary mechanisms: First, the nonReentrant modifier from OpenZeppelin sets an execution lock flag. Second, the code follows the Checks-Effects-Interactions pattern: land.currentOwner is updated and land.isForSale is set to false BEFORE the contract executes previousOwner.call{value: purchasePrice}('').</w:t>
      </w:r>
    </w:p>
    <w:p>
      <w:pPr>
        <w:keepNext/>
        <w:spacing w:before="280" w:after="80"/>
      </w:pPr>
      <w:r>
        <w:rPr>
          <w:rFonts w:ascii="Calibri" w:hAnsi="Calibri"/>
          <w:b/>
          <w:color w:val="0F172A"/>
          <w:sz w:val="25"/>
        </w:rPr>
        <w:t>Q4: Why use Solidity 0.8.20 Custom Errors instead of standard require strings?</w:t>
      </w:r>
    </w:p>
    <w:p>
      <w:pPr>
        <w:spacing w:before="0" w:after="120" w:line="276" w:lineRule="auto"/>
      </w:pPr>
      <w:r>
        <w:rPr>
          <w:rFonts w:ascii="Calibri" w:hAnsi="Calibri"/>
          <w:color w:val="1E293B"/>
          <w:sz w:val="22"/>
        </w:rPr>
        <w:t>A: Standard require(condition, 'error string') embeds full ASCII string literals into contract bytecode, increasing contract deployment cost and consuming extra gas on reverts. Custom errors compile into compact 4-byte function selectors, reducing gas consumption by up to 40%.</w:t>
      </w:r>
    </w:p>
    <w:p>
      <w:pPr>
        <w:keepNext/>
        <w:spacing w:before="280" w:after="80"/>
      </w:pPr>
      <w:r>
        <w:rPr>
          <w:rFonts w:ascii="Calibri" w:hAnsi="Calibri"/>
          <w:b/>
          <w:color w:val="0F172A"/>
          <w:sz w:val="25"/>
        </w:rPr>
        <w:t>Q5: What happens if a buyer transmits more Ether than the property asking price?</w:t>
      </w:r>
    </w:p>
    <w:p>
      <w:pPr>
        <w:spacing w:before="0" w:after="120" w:line="276" w:lineRule="auto"/>
      </w:pPr>
      <w:r>
        <w:rPr>
          <w:rFonts w:ascii="Calibri" w:hAnsi="Calibri"/>
          <w:color w:val="1E293B"/>
          <w:sz w:val="22"/>
        </w:rPr>
        <w:t>A: The buyLand() function checks if msg.value &gt; purchasePrice. If surplus Ether was sent, the contract calculates refundAmount = msg.value - purchasePrice and dispatches the refund back to the buyer via payable(msg.sender).call{value: refundAmount}(''), ensuring zero funds are locked or lost.</w:t>
      </w:r>
    </w:p>
    <w:p>
      <w:pPr>
        <w:keepNext/>
        <w:spacing w:before="280" w:after="80"/>
      </w:pPr>
      <w:r>
        <w:rPr>
          <w:rFonts w:ascii="Calibri" w:hAnsi="Calibri"/>
          <w:b/>
          <w:color w:val="0F172A"/>
          <w:sz w:val="25"/>
        </w:rPr>
        <w:t>Q6: How does the React frontend know whether a user is an Admin, Owner, or Buyer?</w:t>
      </w:r>
    </w:p>
    <w:p>
      <w:pPr>
        <w:spacing w:before="0" w:after="120" w:line="276" w:lineRule="auto"/>
      </w:pPr>
      <w:r>
        <w:rPr>
          <w:rFonts w:ascii="Calibri" w:hAnsi="Calibri"/>
          <w:color w:val="1E293B"/>
          <w:sz w:val="22"/>
        </w:rPr>
        <w:t>A: Upon wallet connection via Ethers.js v6, the application queries the contract's immutable admin() address and executes getLandsByOwner(userAddress). If the address equals admin, the Admin/Inspector persona is activated. If the address owns properties, the Verified Owner persona is activated. Otherwise, the Citizen/Buyer persona is rendered.</w:t>
      </w:r>
    </w:p>
    <w:p>
      <w:pPr>
        <w:keepNext/>
        <w:spacing w:before="280" w:after="80"/>
      </w:pPr>
      <w:r>
        <w:rPr>
          <w:rFonts w:ascii="Calibri" w:hAnsi="Calibri"/>
          <w:b/>
          <w:color w:val="0F172A"/>
          <w:sz w:val="25"/>
        </w:rPr>
        <w:t>Q7: How is Pinata IPFS integrated into the frontend workflow?</w:t>
      </w:r>
    </w:p>
    <w:p>
      <w:pPr>
        <w:spacing w:before="0" w:after="120" w:line="276" w:lineRule="auto"/>
      </w:pPr>
      <w:r>
        <w:rPr>
          <w:rFonts w:ascii="Calibri" w:hAnsi="Calibri"/>
          <w:color w:val="1E293B"/>
          <w:sz w:val="22"/>
        </w:rPr>
        <w:t>A: The frontend uses pinataService.js and DocumentUploader.jsx. When a file is selected, Axios dispatches a multipart/form-data POST request to https://api.pinata.cloud/pinning/pinFileToIPFS. It tracks percentage upload progress, attaches project metadata keyvalues, and returns the IPFS CID to populate the registration form.</w:t>
      </w:r>
    </w:p>
    <w:p>
      <w:pPr>
        <w:keepNext/>
        <w:spacing w:before="280" w:after="80"/>
      </w:pPr>
      <w:r>
        <w:rPr>
          <w:rFonts w:ascii="Calibri" w:hAnsi="Calibri"/>
          <w:b/>
          <w:color w:val="0F172A"/>
          <w:sz w:val="25"/>
        </w:rPr>
        <w:t>Q8: Why build on EVM instead of a private permissioned ledger like Hyperledger Fabric?</w:t>
      </w:r>
    </w:p>
    <w:p>
      <w:pPr>
        <w:spacing w:before="0" w:after="120" w:line="276" w:lineRule="auto"/>
      </w:pPr>
      <w:r>
        <w:rPr>
          <w:rFonts w:ascii="Calibri" w:hAnsi="Calibri"/>
          <w:color w:val="1E293B"/>
          <w:sz w:val="22"/>
        </w:rPr>
        <w:t>A: Public EVM blockchains provide decentralized censorship resistance, zero-trust public transparency, and global auditability. In private permissioned ledgers, a consortium of corrupt municipal actors could collude to modify ledger history. Public EVM prevents any single authority from altering history.</w:t>
      </w:r>
    </w:p>
    <w:p>
      <w:pPr>
        <w:keepNext/>
        <w:spacing w:before="280" w:after="80"/>
      </w:pPr>
      <w:r>
        <w:rPr>
          <w:rFonts w:ascii="Calibri" w:hAnsi="Calibri"/>
          <w:b/>
          <w:color w:val="0F172A"/>
          <w:sz w:val="25"/>
        </w:rPr>
        <w:t>Q9: What happens if a property owner permanently loses their private key?</w:t>
      </w:r>
    </w:p>
    <w:p>
      <w:pPr>
        <w:spacing w:before="0" w:after="120" w:line="276" w:lineRule="auto"/>
      </w:pPr>
      <w:r>
        <w:rPr>
          <w:rFonts w:ascii="Calibri" w:hAnsi="Calibri"/>
          <w:color w:val="1E293B"/>
          <w:sz w:val="22"/>
        </w:rPr>
        <w:t>A: In the current prototype, title control is tied to the key. In an enterprise production deployment, this is resolved via ERC-4337 Account Abstraction and Smart Contract Wallets with Social Recovery, allowing multi-signature legal guardians (e.g., family members, court registrar, notary) to authorize key rotation upon legal proof.</w:t>
      </w:r>
    </w:p>
    <w:p>
      <w:pPr>
        <w:keepNext/>
        <w:spacing w:before="280" w:after="80"/>
      </w:pPr>
      <w:r>
        <w:rPr>
          <w:rFonts w:ascii="Calibri" w:hAnsi="Calibri"/>
          <w:b/>
          <w:color w:val="0F172A"/>
          <w:sz w:val="25"/>
        </w:rPr>
        <w:t>Q10: What are the key areas for future improvement and scaling?</w:t>
      </w:r>
    </w:p>
    <w:p>
      <w:pPr>
        <w:spacing w:before="0" w:after="120" w:line="276" w:lineRule="auto"/>
      </w:pPr>
      <w:r>
        <w:rPr>
          <w:rFonts w:ascii="Calibri" w:hAnsi="Calibri"/>
          <w:color w:val="1E293B"/>
          <w:sz w:val="22"/>
        </w:rPr>
        <w:t>A: 1) Deploying on Layer-2 Rollups (Arbitrum, Optimism, Base) for sub-cent gas fees; 2) Integrating Chainlink oracles for real-time cadastral GIS boundary verification; 3) Fractionalizing large commercial properties using ERC-1155 or ERC-20 tokens; 4) Zero-Knowledge Proofs (zk-SNARKs) for privacy-preserving title audits.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Solidity 0.8.20 • Hardhat • Ethers.js v6 • Pinata IPFS • React 18 • OpenZeppelin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TERRACHAIN (LANDBLOCK) | In-Depth Technical Specification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