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Black" w:hAnsi="Arial Black"/>
          <w:color w:val="059669"/>
          <w:sz w:val="52"/>
        </w:rPr>
        <w:t>TERRACHAIN (LANDBLOCK)</w:t>
      </w:r>
    </w:p>
    <w:p>
      <w:pPr>
        <w:spacing w:after="400"/>
      </w:pPr>
      <w:r>
        <w:rPr>
          <w:rFonts w:ascii="Calibri" w:hAnsi="Calibri"/>
          <w:b/>
          <w:color w:val="0F172A"/>
          <w:sz w:val="28"/>
        </w:rPr>
        <w:t>Decentralized Land Registry &amp; Title Transfer System</w:t>
        <w:br/>
        <w:t>Comprehensive Technical, Architectural &amp; Evaluation Report</w:t>
      </w:r>
    </w:p>
    <w:tbl>
      <w:tblPr>
        <w:tblW w:type="auto" w:w="0"/>
        <w:jc w:val="center"/>
        <w:tblLook w:firstColumn="1" w:firstRow="1" w:lastColumn="0" w:lastRow="0" w:noHBand="0" w:noVBand="1" w:val="04A0"/>
      </w:tblPr>
      <w:tblGrid>
        <w:gridCol w:w="4968"/>
        <w:gridCol w:w="4968"/>
      </w:tblGrid>
      <w:tr>
        <w:tc>
          <w:tcPr>
            <w:tcW w:type="dxa" w:w="4968"/>
            <w:shd w:fill="F1F5F9"/>
          </w:tcPr>
          <w:p>
            <w:pPr>
              <w:spacing w:before="60" w:after="60"/>
            </w:pPr>
            <w:r>
              <w:rPr>
                <w:b/>
                <w:sz w:val="20"/>
              </w:rPr>
              <w:t>Project Title</w:t>
            </w:r>
          </w:p>
        </w:tc>
        <w:tc>
          <w:tcPr>
            <w:tcW w:type="dxa" w:w="4968"/>
          </w:tcPr>
          <w:p>
            <w:pPr>
              <w:spacing w:before="60" w:after="60"/>
            </w:pPr>
            <w:r>
              <w:rPr>
                <w:sz w:val="20"/>
              </w:rPr>
              <w:t>TerraChain — Decentralized Land Registry and Title Transfer System</w:t>
            </w:r>
          </w:p>
        </w:tc>
      </w:tr>
      <w:tr>
        <w:tc>
          <w:tcPr>
            <w:tcW w:type="dxa" w:w="4968"/>
            <w:shd w:fill="F1F5F9"/>
          </w:tcPr>
          <w:p>
            <w:pPr>
              <w:spacing w:before="60" w:after="60"/>
            </w:pPr>
            <w:r>
              <w:rPr>
                <w:b/>
                <w:sz w:val="20"/>
              </w:rPr>
              <w:t>Smart Contract Technology</w:t>
            </w:r>
          </w:p>
        </w:tc>
        <w:tc>
          <w:tcPr>
            <w:tcW w:type="dxa" w:w="4968"/>
          </w:tcPr>
          <w:p>
            <w:pPr>
              <w:spacing w:before="60" w:after="60"/>
            </w:pPr>
            <w:r>
              <w:rPr>
                <w:sz w:val="20"/>
              </w:rPr>
              <w:t>Solidity v0.8.20, Hardhat Development Framework, OpenZeppelin ReentrancyGuard</w:t>
            </w:r>
          </w:p>
        </w:tc>
      </w:tr>
      <w:tr>
        <w:tc>
          <w:tcPr>
            <w:tcW w:type="dxa" w:w="4968"/>
            <w:shd w:fill="F1F5F9"/>
          </w:tcPr>
          <w:p>
            <w:pPr>
              <w:spacing w:before="60" w:after="60"/>
            </w:pPr>
            <w:r>
              <w:rPr>
                <w:b/>
                <w:sz w:val="20"/>
              </w:rPr>
              <w:t>Storage Layer</w:t>
            </w:r>
          </w:p>
        </w:tc>
        <w:tc>
          <w:tcPr>
            <w:tcW w:type="dxa" w:w="4968"/>
          </w:tcPr>
          <w:p>
            <w:pPr>
              <w:spacing w:before="60" w:after="60"/>
            </w:pPr>
            <w:r>
              <w:rPr>
                <w:sz w:val="20"/>
              </w:rPr>
              <w:t>Pinata Decentralized IPFS (InterPlanetary File System) via REST API</w:t>
            </w:r>
          </w:p>
        </w:tc>
      </w:tr>
      <w:tr>
        <w:tc>
          <w:tcPr>
            <w:tcW w:type="dxa" w:w="4968"/>
            <w:shd w:fill="F1F5F9"/>
          </w:tcPr>
          <w:p>
            <w:pPr>
              <w:spacing w:before="60" w:after="60"/>
            </w:pPr>
            <w:r>
              <w:rPr>
                <w:b/>
                <w:sz w:val="20"/>
              </w:rPr>
              <w:t>Frontend &amp; Integration</w:t>
            </w:r>
          </w:p>
        </w:tc>
        <w:tc>
          <w:tcPr>
            <w:tcW w:type="dxa" w:w="4968"/>
          </w:tcPr>
          <w:p>
            <w:pPr>
              <w:spacing w:before="60" w:after="60"/>
            </w:pPr>
            <w:r>
              <w:rPr>
                <w:sz w:val="20"/>
              </w:rPr>
              <w:t>React 18, Vite, Tailwind CSS, Lucide Icons, Ethers.js v6</w:t>
            </w:r>
          </w:p>
        </w:tc>
      </w:tr>
      <w:tr>
        <w:tc>
          <w:tcPr>
            <w:tcW w:type="dxa" w:w="4968"/>
            <w:shd w:fill="F1F5F9"/>
          </w:tcPr>
          <w:p>
            <w:pPr>
              <w:spacing w:before="60" w:after="60"/>
            </w:pPr>
            <w:r>
              <w:rPr>
                <w:b/>
                <w:sz w:val="20"/>
              </w:rPr>
              <w:t>Networks Supported</w:t>
            </w:r>
          </w:p>
        </w:tc>
        <w:tc>
          <w:tcPr>
            <w:tcW w:type="dxa" w:w="4968"/>
          </w:tcPr>
          <w:p>
            <w:pPr>
              <w:spacing w:before="60" w:after="60"/>
            </w:pPr>
            <w:r>
              <w:rPr>
                <w:sz w:val="20"/>
              </w:rPr>
              <w:t>Localhost (Chain ID: 31337), Ethereum Sepolia Testnet (Chain ID: 11155111)</w:t>
            </w:r>
          </w:p>
        </w:tc>
      </w:tr>
      <w:tr>
        <w:tc>
          <w:tcPr>
            <w:tcW w:type="dxa" w:w="4968"/>
            <w:shd w:fill="F1F5F9"/>
          </w:tcPr>
          <w:p>
            <w:pPr>
              <w:spacing w:before="60" w:after="60"/>
            </w:pPr>
            <w:r>
              <w:rPr>
                <w:b/>
                <w:sz w:val="20"/>
              </w:rPr>
              <w:t>Verification Status</w:t>
            </w:r>
          </w:p>
        </w:tc>
        <w:tc>
          <w:tcPr>
            <w:tcW w:type="dxa" w:w="4968"/>
          </w:tcPr>
          <w:p>
            <w:pPr>
              <w:spacing w:before="60" w:after="60"/>
            </w:pPr>
            <w:r>
              <w:rPr>
                <w:sz w:val="20"/>
              </w:rPr>
              <w:t>Fully Implemented, 21/21 Hardhat Unit Tests Passing, Zero Build Errors</w:t>
            </w:r>
          </w:p>
        </w:tc>
      </w:tr>
    </w:tbl>
    <w:p>
      <w:pPr>
        <w:spacing w:after="320"/>
      </w:pPr>
    </w:p>
    <w:p>
      <w:pPr>
        <w:keepNext/>
        <w:spacing w:before="360" w:after="120"/>
      </w:pPr>
      <w:r>
        <w:rPr>
          <w:rFonts w:ascii="Arial" w:hAnsi="Arial"/>
          <w:b/>
          <w:color w:val="059669"/>
          <w:sz w:val="30"/>
        </w:rPr>
        <w:t>1. Problem Statement &amp; Motivation</w:t>
      </w:r>
    </w:p>
    <w:p>
      <w:r>
        <w:t>Land registry administration represents one of the oldest and most vulnerable public record institutions in the world. According to studies by the World Bank, upwards of 70% of the world's population lacks access to secure, legally recognized title deeds. The challenges plaguing conventional centralized registries include:</w:t>
      </w:r>
    </w:p>
    <w:p>
      <w:r>
        <w:t>1. Double Selling and Fraudulent Conveyance: Unscrupulous property sellers exploit processing lags by signing multiple sale deeds with different buyers before any single deed is recorded in municipal registries.</w:t>
        <w:br/>
        <w:t>2. Centralized Database Corruption: Traditional relational databases (SQL) have single points of failure. Malicious actors, rogue employees, or compromised registry administrators can alter ownership columns in database tables without leaving a public, immutable audit trail.</w:t>
        <w:br/>
        <w:t>3. Physical Document Vulnerability: Paper-based land records decay, burn, or disappear during political conflicts, floods, and fires.</w:t>
        <w:br/>
        <w:t>4. High Transaction Friction and Legal Disputes: Verifying a historical chain of title requires expensive legal search agents, taking weeks or months and generating overwhelming court case backlogs.</w:t>
      </w:r>
    </w:p>
    <w:p>
      <w:r>
        <w:t>TerraChain addresses these fundamental flaws by replacing paper filings and vulnerable centralized databases with an autonomous, tamper-proof smart contract deployed on the Ethereum Virtual Machine (EVM).</w:t>
      </w:r>
    </w:p>
    <w:p>
      <w:pPr>
        <w:keepNext/>
        <w:spacing w:before="360" w:after="120"/>
      </w:pPr>
      <w:r>
        <w:rPr>
          <w:rFonts w:ascii="Arial" w:hAnsi="Arial"/>
          <w:b/>
          <w:color w:val="059669"/>
          <w:sz w:val="30"/>
        </w:rPr>
        <w:t>2. The Decentralized Blockchain Solution</w:t>
      </w:r>
    </w:p>
    <w:p>
      <w:r>
        <w:t>TerraChain establishes an immutable, zero-trust land registry using three core technological pillars:</w:t>
      </w:r>
    </w:p>
    <w:p>
      <w:r>
        <w:t>• Blockchain Immutability: Once property ownership is confirmed by smart contract execution, the transaction is cryptographically sealed into a block. It cannot be altered, overwritten, or deleted by any government official or external entity.</w:t>
        <w:br/>
        <w:t>• Cryptographic Content-Addressed Storage (IPFS): Rather than storing heavy documents directly on the blockchain (which would cost tens of thousands of dollars in gas fees), title deeds and surveyor maps are pinned to IPFS via Pinata. The resulting 32-byte Content Identifier (CID) is stored in the smart contract. Because IPFS CIDs are mathematical hashes of file contents, modifying even one character of the deed instantly invalidates the hash.</w:t>
        <w:br/>
        <w:t>• Atomic Escrow Settlement: Smart contract code guarantees that payment in Ether and title ownership transfer occur simultaneously in the exact same atomic transaction block. The seller cannot receive the funds without title transferring, and the buyer cannot take the title without transmitting the exact price.</w:t>
      </w:r>
    </w:p>
    <w:p>
      <w:pPr>
        <w:keepNext/>
        <w:spacing w:before="360" w:after="120"/>
      </w:pPr>
      <w:r>
        <w:rPr>
          <w:rFonts w:ascii="Arial" w:hAnsi="Arial"/>
          <w:b/>
          <w:color w:val="059669"/>
          <w:sz w:val="30"/>
        </w:rPr>
        <w:t>3. System Architecture &amp; 3-Tier Design</w:t>
      </w:r>
    </w:p>
    <w:p>
      <w:r>
        <w:t>The TerraChain system follows a modular 3-tier architecture separating business logic, storage, and presentation:</w:t>
      </w:r>
    </w:p>
    <w:p>
      <w:r>
        <w:t>Tier 1: Ethereum Smart Contract Layer (Execution Engine)</w:t>
        <w:br/>
        <w:t>Developed in Solidity 0.8.20 and compiled via Hardhat. Enforces role-based permissions, guards against reentrancy attacks, verifies area and pricing bounds, and manages parcel state lifecycles.</w:t>
      </w:r>
    </w:p>
    <w:p>
      <w:r>
        <w:t>Tier 2: Decentralized Storage Layer (Pinata IPFS)</w:t>
        <w:br/>
        <w:t>Property deeds, government notarizations, and surveyor boundary plans are uploaded directly to IPFS nodes using Pinata's REST API. The system generates a public gateway URL allowing any citizen, bank, or auditor to inspect high-resolution documents.</w:t>
      </w:r>
    </w:p>
    <w:p>
      <w:r>
        <w:t>Tier 3: Client Presentation &amp; Web3 Integration Layer</w:t>
        <w:br/>
        <w:t>Built using React 18, Vite, and Tailwind CSS. Ethers.js v6 handles RPC communication with MetaMask (EIP-1193). The application automatically detects the connected user's persona (Admin, Owner, or Buyer) and dynamically renders role-specific workflows.</w:t>
      </w:r>
    </w:p>
    <w:p>
      <w:pPr>
        <w:keepNext/>
        <w:spacing w:before="360" w:after="120"/>
      </w:pPr>
      <w:r>
        <w:rPr>
          <w:rFonts w:ascii="Arial" w:hAnsi="Arial"/>
          <w:b/>
          <w:color w:val="059669"/>
          <w:sz w:val="30"/>
        </w:rPr>
        <w:t>4. Smart Contract Specification (LandRegistry.sol)</w:t>
      </w:r>
    </w:p>
    <w:p>
      <w:pPr>
        <w:keepNext/>
        <w:spacing w:before="240" w:after="80"/>
      </w:pPr>
      <w:r>
        <w:rPr>
          <w:rFonts w:ascii="Calibri" w:hAnsi="Calibri"/>
          <w:b/>
          <w:color w:val="1E293B"/>
          <w:sz w:val="25"/>
        </w:rPr>
        <w:t>4.1 Data Structures &amp; Enums</w:t>
      </w:r>
    </w:p>
    <w:p>
      <w:r>
        <w:t>Each property is immutably represented on-chain via the Land struct:</w:t>
      </w:r>
    </w:p>
    <w:p>
      <w:pPr>
        <w:spacing w:before="80" w:after="120"/>
        <w:shd w:fill="F8FAFC"/>
      </w:pPr>
      <w:r>
        <w:rPr>
          <w:rFonts w:ascii="Consolas" w:hAnsi="Consolas"/>
          <w:color w:val="334155"/>
          <w:sz w:val="18"/>
        </w:rPr>
        <w:t>struct Land {</w:t>
        <w:br/>
        <w:t xml:space="preserve">    uint256 id;                  // Unique auto-incrementing ID</w:t>
        <w:br/>
        <w:t xml:space="preserve">    string physicalAddress;      // Real-world street address / plot coordinates</w:t>
        <w:br/>
        <w:t xml:space="preserve">    uint256 areaSqFt;            // Parcel size in square feet</w:t>
        <w:br/>
        <w:t xml:space="preserve">    uint256 priceInWei;          // Listing price in Wei (1 ETH = 10^18 Wei)</w:t>
        <w:br/>
        <w:t xml:space="preserve">    string ipfsHash;             // IPFS Content Identifier (CID) of deed PDF</w:t>
        <w:br/>
        <w:t xml:space="preserve">    address payable currentOwner;// Ethereum wallet of title holder</w:t>
        <w:br/>
        <w:t xml:space="preserve">    bool isVerified;             // True only after Government Inspector audit</w:t>
        <w:br/>
        <w:t xml:space="preserve">    bool isForSale;              // Public marketplace listing status</w:t>
        <w:br/>
        <w:t>}</w:t>
      </w:r>
    </w:p>
    <w:p>
      <w:pPr>
        <w:keepNext/>
        <w:spacing w:before="240" w:after="80"/>
      </w:pPr>
      <w:r>
        <w:rPr>
          <w:rFonts w:ascii="Calibri" w:hAnsi="Calibri"/>
          <w:b/>
          <w:color w:val="1E293B"/>
          <w:sz w:val="25"/>
        </w:rPr>
        <w:t>4.2 Gas-Optimized Custom Errors</w:t>
      </w:r>
    </w:p>
    <w:p>
      <w:r>
        <w:t>Instead of storing lengthy string error messages in EVM bytecode (e.g. require(condition, 'Very long error message')), TerraChain uses Solidity 0.8.20 Custom Errors, which compile to 4-byte function selectors:</w:t>
      </w:r>
    </w:p>
    <w:p>
      <w:pPr>
        <w:spacing w:before="80" w:after="120"/>
        <w:shd w:fill="F8FAFC"/>
      </w:pPr>
      <w:r>
        <w:rPr>
          <w:rFonts w:ascii="Consolas" w:hAnsi="Consolas"/>
          <w:color w:val="334155"/>
          <w:sz w:val="18"/>
        </w:rPr>
        <w:t>error NotAdmin();</w:t>
        <w:br/>
        <w:t>error NotOwner();</w:t>
        <w:br/>
        <w:t>error LandNotFound();</w:t>
        <w:br/>
        <w:t>error LandAlreadyVerified();</w:t>
        <w:br/>
        <w:t>error LandNotVerified();</w:t>
        <w:br/>
        <w:t>error LandNotForSale();</w:t>
        <w:br/>
        <w:t>error InsufficientPayment(uint256 required, uint256 provided);</w:t>
        <w:br/>
        <w:t>error CannotBuyOwnLand();</w:t>
        <w:br/>
        <w:t>error InvalidArea();</w:t>
        <w:br/>
        <w:t>error InvalidPrice();</w:t>
        <w:br/>
        <w:t>error EmptyAddress();</w:t>
        <w:br/>
        <w:t>error EmptyIpfsHash();</w:t>
        <w:br/>
        <w:t>error EtherTransferFailed();</w:t>
      </w:r>
    </w:p>
    <w:p>
      <w:pPr>
        <w:keepNext/>
        <w:spacing w:before="240" w:after="80"/>
      </w:pPr>
      <w:r>
        <w:rPr>
          <w:rFonts w:ascii="Calibri" w:hAnsi="Calibri"/>
          <w:b/>
          <w:color w:val="1E293B"/>
          <w:sz w:val="25"/>
        </w:rPr>
        <w:t>4.3 Core Contract Functions</w:t>
      </w:r>
    </w:p>
    <w:p>
      <w:r>
        <w:t>The smart contract exposes 7 primary functions:</w:t>
      </w:r>
    </w:p>
    <w:p>
      <w:r>
        <w:t>1. registerLand(string physicalAddress, uint256 areaSqFt, uint256 priceInWei, string ipfsHash): Public function. Anyone can register a property entry. It initializes with isVerified = false and isForSale = false.</w:t>
        <w:br/>
        <w:t>2. verifyLand(uint256 landId): Restricted to the contract Admin (deployer). Confirms cadastral boundary legitimacy and marks the title verified.</w:t>
        <w:br/>
        <w:t>3. listForSale(uint256 landId, uint256 newPrice): Restricted to the current owner. Requires isVerified == true. Sets asking price and isForSale = true.</w:t>
        <w:br/>
        <w:t>4. delistLand(uint256 landId): Restricted to current owner. Removes property from active marketplace.</w:t>
        <w:br/>
        <w:t>5. buyLand(uint256 landId): Payable function with nonReentrant modifier. Validates payment &gt;= asking price, updates ownership, resets isForSale, transfers ETH to seller, and refunds any surplus payment.</w:t>
        <w:br/>
        <w:t>6. getLandDetails(uint256 landId): View function returning full land metadata.</w:t>
        <w:br/>
        <w:t>7. getLandsByOwner(address owner): View function returning array of land IDs owned by an address.</w:t>
      </w:r>
    </w:p>
    <w:p>
      <w:pPr>
        <w:keepNext/>
        <w:spacing w:before="360" w:after="120"/>
      </w:pPr>
      <w:r>
        <w:rPr>
          <w:rFonts w:ascii="Arial" w:hAnsi="Arial"/>
          <w:b/>
          <w:color w:val="059669"/>
          <w:sz w:val="30"/>
        </w:rPr>
        <w:t>5. Automated Testing &amp; Verification Suite</w:t>
      </w:r>
    </w:p>
    <w:p>
      <w:r>
        <w:t>All smart contract functionality is verified through 21 comprehensive automated unit tests in blockchain/test/LandRegistry.test.js. Tests are executed using the Hardhat Network and Chai assertions:</w:t>
      </w:r>
    </w:p>
    <w:p>
      <w:r>
        <w:t>• Deployment &amp; Roles: Asserts deployer address is stored as admin; total lands initialize to 0.</w:t>
        <w:br/>
        <w:t>• Registration Validation: Reverts if physical address is empty, area is 0, or IPFS hash is missing.</w:t>
        <w:br/>
        <w:t>• Admin Audit Controls: Verifies LandVerified event emission; blocks non-admins from verification; blocks duplicate verification.</w:t>
        <w:br/>
        <w:t>• Marketplace Listing Constraints: Reverts if unverified land is listed; blocks non-owners; validates price &gt; 0; asserts delisting.</w:t>
        <w:br/>
        <w:t>• Atomic Escrow Math: Asserts seller balance increases by exact sale price; asserts buyer ownership reassignment; asserts excess ETH refund math.</w:t>
      </w:r>
    </w:p>
    <w:p>
      <w:r>
        <w:t>All 21 tests pass with zero failures (runtime: 798ms).</w:t>
      </w:r>
    </w:p>
    <w:p>
      <w:pPr>
        <w:keepNext/>
        <w:spacing w:before="360" w:after="120"/>
      </w:pPr>
      <w:r>
        <w:rPr>
          <w:rFonts w:ascii="Arial" w:hAnsi="Arial"/>
          <w:b/>
          <w:color w:val="059669"/>
          <w:sz w:val="30"/>
        </w:rPr>
        <w:t>6. Decentralized Storage (Pinata IPFS)</w:t>
      </w:r>
    </w:p>
    <w:p>
      <w:r>
        <w:t>To achieve production-grade decentralized storage, the frontend features frontend/src/services/pinataService.js and frontend/src/components/DocumentUploader.jsx:</w:t>
        <w:br/>
        <w:t>• Dual Authentication: Supports both Pinata JWT Bearer tokens and API Key/Secret pairs.</w:t>
        <w:br/>
        <w:t>• File Ingestion: Drag-and-drop zone accepting .pdf, .png, .jpg, and .webp documents with client-side 15MB file size validation.</w:t>
        <w:br/>
        <w:t>• Metadata Binding: Attaches project name, property location, and area size keyvalues directly into the IPFS pin header.</w:t>
        <w:br/>
        <w:t>• Progress Tracking: Uses Axios onUploadProgress to display animated percentage progress bars.</w:t>
        <w:br/>
        <w:t>• Gateway Resolution: Formats CIDs into public gateway links (https://gateway.pinata.cloud/ipfs/&lt;CID&gt;) for one-click browser viewing.</w:t>
      </w:r>
    </w:p>
    <w:p>
      <w:pPr>
        <w:keepNext/>
        <w:spacing w:before="360" w:after="120"/>
      </w:pPr>
      <w:r>
        <w:rPr>
          <w:rFonts w:ascii="Arial" w:hAnsi="Arial"/>
          <w:b/>
          <w:color w:val="059669"/>
          <w:sz w:val="30"/>
        </w:rPr>
        <w:t>7. Web3 Client &amp; Role-Based UX Architecture</w:t>
      </w:r>
    </w:p>
    <w:p>
      <w:r>
        <w:t>The user interface in frontend/src/App.jsx automatically adapts depending on the connected wallet:</w:t>
        <w:br/>
        <w:t>1. Dynamic Navbar: Displays project branding, ETH balance, truncated address (0x12...34ab), and a role tag:</w:t>
        <w:br/>
        <w:t xml:space="preserve">   - Admin / Inspector: When connected address matches contract admin.</w:t>
        <w:br/>
        <w:t xml:space="preserve">   - Verified Owner (&lt;count&gt;): When the connected address owns parcels in the registry.</w:t>
        <w:br/>
        <w:t xml:space="preserve">   - Buyer: Default role for regular citizens.</w:t>
        <w:br/>
        <w:t>2. Explore / Marketplace: Filterable grid cards showing location, area, price in ETH, owner address, IPFS deed link, and Buy Now button.</w:t>
        <w:br/>
        <w:t>3. Register Property: Dedicated registration form with integrated DocumentUploader component.</w:t>
        <w:br/>
        <w:t>4. Inspector / Admin Panel: Restricted to deployer address. Lists pending unverified properties with one-click title approval.</w:t>
        <w:br/>
        <w:t>5. My Assets: Personal property portfolio with interactive List and Delist toggles.</w:t>
        <w:br/>
        <w:t>6. Transaction Status Toasts: Real-time floating alerts communicating Pending (spinner), Success (checkmark), and Failed states.</w:t>
      </w:r>
    </w:p>
    <w:p>
      <w:pPr>
        <w:keepNext/>
        <w:spacing w:before="360" w:after="120"/>
      </w:pPr>
      <w:r>
        <w:rPr>
          <w:rFonts w:ascii="Arial" w:hAnsi="Arial"/>
          <w:b/>
          <w:color w:val="059669"/>
          <w:sz w:val="30"/>
        </w:rPr>
        <w:t>8. Live Demonstration Checklist (3 Accounts)</w:t>
      </w:r>
    </w:p>
    <w:p>
      <w:r>
        <w:t>Use this exact sequence to demonstrate the system live in front of evaluators:</w:t>
        <w:br/>
        <w:t>• Account #0 (Admin): 0xf39Fd6e51aad88F6F4ce6aB8827279cffFb92266 (Key: 0xac09...)</w:t>
        <w:br/>
        <w:t>• Account #1 (Seller): 0x70997970C51812dc3A010C7d01b50e0d17dc79C8 (Key: 0x59c6...)</w:t>
        <w:br/>
        <w:t>• Account #2 (Buyer): 0x3C44CdDdB6a900fa2b585dd299e03d12FA4293BC (Key: 0x5de4...)</w:t>
      </w:r>
    </w:p>
    <w:p>
      <w:r>
        <w:t>Step 1: Start node (npx hardhat node), deploy contract (npx hardhat run scripts/deploy.js --network localhost), launch frontend (npm run dev).</w:t>
        <w:br/>
        <w:t>Step 2: Connect Account #1 (Seller). Open Register Property. Upload deed PDF to Pinata IPFS. Submit on-chain.</w:t>
        <w:br/>
        <w:t>Step 3: Connect Account #0 (Admin). Navbar tag changes to 'Admin / Inspector'. Open Inspector Panel. Inspect deed on IPFS. Click 'Verify Title'.</w:t>
        <w:br/>
        <w:t>Step 4: Reconnect Account #1 (Seller). Tag updates to 'Verified Owner (1)'. In My Assets, click 'List for Sale' (price: 2.5 ETH).</w:t>
        <w:br/>
        <w:t>Step 5: Connect Account #2 (Buyer). Open Marketplace. Click 'Buy Now' on the listed property. Show evaluators that Seller received +2.5 ETH, title ownership reassigned to Buyer, and property automatically delisted.</w:t>
      </w:r>
    </w:p>
    <w:p>
      <w:pPr>
        <w:keepNext/>
        <w:spacing w:before="360" w:after="120"/>
      </w:pPr>
      <w:r>
        <w:rPr>
          <w:rFonts w:ascii="Arial" w:hAnsi="Arial"/>
          <w:b/>
          <w:color w:val="059669"/>
          <w:sz w:val="30"/>
        </w:rPr>
        <w:t>9. Viva &amp; Oral Exam Defense Guide</w:t>
      </w:r>
    </w:p>
    <w:p>
      <w:pPr>
        <w:keepNext/>
        <w:spacing w:before="240" w:after="80"/>
      </w:pPr>
      <w:r>
        <w:rPr>
          <w:rFonts w:ascii="Calibri" w:hAnsi="Calibri"/>
          <w:b/>
          <w:color w:val="1E293B"/>
          <w:sz w:val="25"/>
        </w:rPr>
        <w:t>Q1: How does blockchain handle physical-world land disputes?</w:t>
      </w:r>
    </w:p>
    <w:p>
      <w:r>
        <w:t>A: Blockchain guarantees ledger immutability, not physical reality. We resolve this via a two-tier gatekeeper: all registrations start unverified. A licensed Government Land Inspector audits physical surveys on IPFS before calling verifyLand(). Disputed titles can be delisted or flagged according to judicial decrees.</w:t>
      </w:r>
    </w:p>
    <w:p>
      <w:pPr>
        <w:keepNext/>
        <w:spacing w:before="240" w:after="80"/>
      </w:pPr>
      <w:r>
        <w:rPr>
          <w:rFonts w:ascii="Calibri" w:hAnsi="Calibri"/>
          <w:b/>
          <w:color w:val="1E293B"/>
          <w:sz w:val="25"/>
        </w:rPr>
        <w:t>Q2: Why store only IPFS CIDs on-chain instead of entire PDF deeds?</w:t>
      </w:r>
    </w:p>
    <w:p>
      <w:r>
        <w:t>A: Storing 1 MB on Ethereum costs thousands in gas fees. Storing the 32-byte CID requires ~20,000 gas while providing cryptographic verification: altering even one character alters the CID, exposing tampering.</w:t>
      </w:r>
    </w:p>
    <w:p>
      <w:pPr>
        <w:keepNext/>
        <w:spacing w:before="240" w:after="80"/>
      </w:pPr>
      <w:r>
        <w:rPr>
          <w:rFonts w:ascii="Calibri" w:hAnsi="Calibri"/>
          <w:b/>
          <w:color w:val="1E293B"/>
          <w:sz w:val="25"/>
        </w:rPr>
        <w:t>Q3: How is fund transfer secured against reentrancy in buyLand()?</w:t>
      </w:r>
    </w:p>
    <w:p>
      <w:r>
        <w:t>A: Through OpenZeppelin's ReentrancyGuard and the Checks-Effects-Interactions pattern: state variables are updated before dispatching external ETH calls.</w:t>
      </w:r>
    </w:p>
    <w:p>
      <w:pPr>
        <w:keepNext/>
        <w:spacing w:before="240" w:after="80"/>
      </w:pPr>
      <w:r>
        <w:rPr>
          <w:rFonts w:ascii="Calibri" w:hAnsi="Calibri"/>
          <w:b/>
          <w:color w:val="1E293B"/>
          <w:sz w:val="25"/>
        </w:rPr>
        <w:t>Q4: What happens if an owner loses their private key?</w:t>
      </w:r>
    </w:p>
    <w:p>
      <w:r>
        <w:t>A: In production, Account Abstraction (ERC-4337) with Social Recovery allows designated trusted guardians (e.g., family, notary, registrar) to authorize key rotation upon legal probate proof.</w:t>
      </w:r>
    </w:p>
    <w:p>
      <w:pPr>
        <w:keepNext/>
        <w:spacing w:before="240" w:after="80"/>
      </w:pPr>
      <w:r>
        <w:rPr>
          <w:rFonts w:ascii="Calibri" w:hAnsi="Calibri"/>
          <w:b/>
          <w:color w:val="1E293B"/>
          <w:sz w:val="25"/>
        </w:rPr>
        <w:t>Q5: Why choose an EVM architecture over Hyperledger Fabric?</w:t>
      </w:r>
    </w:p>
    <w:p>
      <w:r>
        <w:t>A: Public EVM provides censorship resistance and zero-trust public transparency, preventing corrupt municipal actors from secretly altering private databases.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