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SYNTHETIC TEST CONTRACT C - INDEPENDENT CONSULTING AGREEMENT</w:t>
      </w:r>
    </w:p>
    <w:p>
      <w:r>
        <w:t>[CONFIDENTIALITY NOTICE: SYNTHETIC DATA ONLY FOR AUTOMATED TESTING]</w:t>
      </w:r>
    </w:p>
    <w:p>
      <w:r>
        <w:t>This Consulting Agreement is entered into as of March 10, 2026, between Orion Innovations Ltd (Company) and Freelance Specialist (Consultant).</w:t>
      </w:r>
    </w:p>
    <w:p>
      <w:pPr>
        <w:pStyle w:val="Heading2"/>
      </w:pPr>
      <w:r>
        <w:t>1. Engagement and Deliverables</w:t>
      </w:r>
    </w:p>
    <w:p>
      <w:r>
        <w:t>The Consultant shall deliver cloud architecture review services as mutually agreed in writing.</w:t>
      </w:r>
    </w:p>
    <w:p>
      <w:pPr>
        <w:pStyle w:val="Heading2"/>
      </w:pPr>
      <w:r>
        <w:t>2. Payment and Milestones</w:t>
      </w:r>
    </w:p>
    <w:p>
      <w:r>
        <w:t>The Company shall pay a fixed fee of INR 3,00,000. Invoices shall be payable within thirty (30) days of receipt. Milestone 1 requires an advance payment of 20%.</w:t>
      </w:r>
    </w:p>
    <w:p>
      <w:pPr>
        <w:pStyle w:val="Heading2"/>
      </w:pPr>
      <w:r>
        <w:t>3. Confidentiality and Data Security</w:t>
      </w:r>
    </w:p>
    <w:p>
      <w:r>
        <w:t>Each party agrees to hold all proprietary information in strict confidence for a period of two (2) years following the termination of this Agreement.</w:t>
      </w:r>
    </w:p>
    <w:p>
      <w:pPr>
        <w:pStyle w:val="Heading2"/>
      </w:pPr>
      <w:r>
        <w:t>4. Intellectual Property and Licensing</w:t>
      </w:r>
    </w:p>
    <w:p>
      <w:r>
        <w:t>Deliverables specifically created for the Company shall become the property of the Company upon full payment. Background IP retains original ownership.</w:t>
      </w:r>
    </w:p>
    <w:p>
      <w:pPr>
        <w:pStyle w:val="Heading2"/>
      </w:pPr>
      <w:r>
        <w:t>5. Term and Termination</w:t>
      </w:r>
    </w:p>
    <w:p>
      <w:r>
        <w:t>Either party may terminate this Agreement upon forty-five (45) days written notice, or immediately for uncured material breach.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