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4149415" wp14:textId="77777777">
      <w:pPr>
        <w:spacing w:before="440"/>
      </w:pPr>
      <w:r>
        <w:rPr>
          <w:rFonts w:ascii="Aptos" w:hAnsi="Aptos"/>
          <w:b/>
          <w:color w:val="007F7B"/>
          <w:sz w:val="20"/>
        </w:rPr>
        <w:t>MEDICAL COVERAGE POLICY</w:t>
      </w:r>
    </w:p>
    <w:p xmlns:wp14="http://schemas.microsoft.com/office/word/2010/wordml" w14:paraId="0ED04EAF" wp14:textId="77777777">
      <w:pPr>
        <w:spacing w:after="240"/>
      </w:pPr>
      <w:r>
        <w:rPr>
          <w:rFonts w:ascii="Aptos Display" w:hAnsi="Aptos Display"/>
          <w:b/>
          <w:color w:val="102A43"/>
          <w:sz w:val="50"/>
        </w:rPr>
        <w:t>Advanced Imaging and Lumbar Spine MRI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xmlns:wp14="http://schemas.microsoft.com/office/word/2010/wordml" w14:paraId="470D4073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22B0C43" wp14:textId="77777777">
            <w:r>
              <w:rPr>
                <w:rFonts w:ascii="Aptos" w:hAnsi="Aptos"/>
                <w:b/>
                <w:color w:val="123B5D"/>
                <w:sz w:val="18"/>
              </w:rPr>
              <w:t>Policy ID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7156273" wp14:textId="77777777">
            <w:r>
              <w:rPr>
                <w:rFonts w:ascii="Aptos" w:hAnsi="Aptos"/>
                <w:b w:val="0"/>
                <w:color w:val="526B7A"/>
                <w:sz w:val="18"/>
              </w:rPr>
              <w:t>NSHP-IMG-001</w:t>
            </w:r>
          </w:p>
        </w:tc>
      </w:tr>
      <w:tr xmlns:wp14="http://schemas.microsoft.com/office/word/2010/wordml" w14:paraId="431F18F7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E5A74F1" wp14:textId="77777777">
            <w:r>
              <w:rPr>
                <w:rFonts w:ascii="Aptos" w:hAnsi="Aptos"/>
                <w:b/>
                <w:color w:val="123B5D"/>
                <w:sz w:val="18"/>
              </w:rPr>
              <w:t>Category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33D7789B" wp14:textId="77777777">
            <w:r>
              <w:rPr>
                <w:rFonts w:ascii="Aptos" w:hAnsi="Aptos"/>
                <w:b w:val="0"/>
                <w:color w:val="526B7A"/>
                <w:sz w:val="18"/>
              </w:rPr>
              <w:t>Diagnostic Imaging and Site of Care</w:t>
            </w:r>
          </w:p>
        </w:tc>
      </w:tr>
      <w:tr xmlns:wp14="http://schemas.microsoft.com/office/word/2010/wordml" w14:paraId="45F021B8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B9FBFDD" wp14:textId="77777777">
            <w:r>
              <w:rPr>
                <w:rFonts w:ascii="Aptos" w:hAnsi="Aptos"/>
                <w:b/>
                <w:color w:val="123B5D"/>
                <w:sz w:val="18"/>
              </w:rPr>
              <w:t>Status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075B316A" wp14:textId="77777777">
            <w:r>
              <w:rPr>
                <w:rFonts w:ascii="Aptos" w:hAnsi="Aptos"/>
                <w:b w:val="0"/>
                <w:color w:val="526B7A"/>
                <w:sz w:val="18"/>
              </w:rPr>
              <w:t>POC SAMPLE - NOT AN OFFICIAL EFFECTIVE POLICY</w:t>
            </w:r>
          </w:p>
        </w:tc>
      </w:tr>
      <w:tr xmlns:wp14="http://schemas.microsoft.com/office/word/2010/wordml" w14:paraId="5802413F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334895F" wp14:textId="77777777">
            <w:r>
              <w:rPr>
                <w:rFonts w:ascii="Aptos" w:hAnsi="Aptos"/>
                <w:b/>
                <w:color w:val="123B5D"/>
                <w:sz w:val="18"/>
              </w:rPr>
              <w:t>Intended Use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71245986" wp14:textId="77777777">
            <w:r>
              <w:rPr>
                <w:rFonts w:ascii="Aptos" w:hAnsi="Aptos"/>
                <w:b w:val="0"/>
                <w:color w:val="526B7A"/>
                <w:sz w:val="18"/>
              </w:rPr>
              <w:t>Synthetic RAG demonstration and testing only</w:t>
            </w:r>
          </w:p>
        </w:tc>
      </w:tr>
    </w:tbl>
    <w:p xmlns:wp14="http://schemas.microsoft.com/office/word/2010/wordml" w:rsidP="38914B49" w14:paraId="0A37501D" wp14:textId="698E4F85">
      <w:pPr>
        <w:pStyle w:val="Normal"/>
        <w:spacing w:after="0"/>
      </w:pPr>
    </w:p>
    <w:p xmlns:wp14="http://schemas.microsoft.com/office/word/2010/wordml" w14:paraId="67DC5D1C" wp14:textId="77777777">
      <w:pPr>
        <w:pStyle w:val="Heading1"/>
      </w:pPr>
      <w:r>
        <w:t>1. Purpose and Scope</w:t>
      </w:r>
    </w:p>
    <w:p xmlns:wp14="http://schemas.microsoft.com/office/word/2010/wordml" w14:paraId="0F37125F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This policy describes synthetic coverage-review criteria for outpatient, nonemergency high-tech imaging, with emphasis on lumbar-spine MRI. Coverage remains subject to the member benefit plan, applicable law, and the facts of the individual case.</w:t>
      </w:r>
    </w:p>
    <w:p xmlns:wp14="http://schemas.microsoft.com/office/word/2010/wordml" w14:paraId="17640FA4" wp14:textId="77777777">
      <w:pPr>
        <w:pStyle w:val="Heading1"/>
      </w:pPr>
      <w:r>
        <w:t>2. Prior Authorization</w:t>
      </w:r>
    </w:p>
    <w:p xmlns:wp14="http://schemas.microsoft.com/office/word/2010/wordml" w14:paraId="4E268EA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Outpatient, nonemergency MRI, MRA, CT, CTA, PET, nuclear cardiology, stress echocardiography, and diagnostic cardiac catheterization may require prior authorization when the member plan includes an outpatient-procedure precertification requirement.</w:t>
      </w:r>
    </w:p>
    <w:p xmlns:wp14="http://schemas.microsoft.com/office/word/2010/wordml" w14:paraId="6C76C31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Services performed during an inpatient stay, emergency-room encounter, or qualifying observation episode may follow a different authorization pathway.</w:t>
      </w:r>
    </w:p>
    <w:p xmlns:wp14="http://schemas.microsoft.com/office/word/2010/wordml" w14:paraId="456395F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An outpatient hospital setting may require site-of-care medical-necessity review and clinical rationale.</w:t>
      </w:r>
    </w:p>
    <w:p xmlns:wp14="http://schemas.microsoft.com/office/word/2010/wordml" w14:paraId="63C43862" wp14:textId="77777777">
      <w:pPr>
        <w:pStyle w:val="Heading1"/>
      </w:pPr>
      <w:r>
        <w:t>3. Lumbar MRI Clinical Criteria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xmlns:wp14="http://schemas.microsoft.com/office/word/2010/wordml" w14:paraId="4418F08A" wp14:textId="77777777">
        <w:tc>
          <w:tcPr>
            <w:tcW w:w="4536" w:type="dxa"/>
            <w:shd w:fill="123B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299E710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Clinical scenario</w:t>
            </w:r>
          </w:p>
        </w:tc>
        <w:tc>
          <w:tcPr>
            <w:tcW w:w="4824" w:type="dxa"/>
            <w:shd w:fill="123B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EAEF3BB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Synthetic policy position</w:t>
            </w:r>
          </w:p>
        </w:tc>
      </w:tr>
      <w:tr xmlns:wp14="http://schemas.microsoft.com/office/word/2010/wordml" w14:paraId="369D42F1" wp14:textId="77777777">
        <w:tc>
          <w:tcPr>
            <w:tcW w:w="4536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F66875C" wp14:textId="77777777">
            <w:r>
              <w:rPr>
                <w:rFonts w:ascii="Aptos" w:hAnsi="Aptos"/>
                <w:b w:val="0"/>
                <w:color w:val="526B7A"/>
                <w:sz w:val="17"/>
              </w:rPr>
              <w:t>Acute uncomplicated low-back pain, no red flags, no prior management</w:t>
            </w:r>
          </w:p>
        </w:tc>
        <w:tc>
          <w:tcPr>
            <w:tcW w:w="4824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98C7C9B" wp14:textId="77777777">
            <w:r>
              <w:rPr>
                <w:rFonts w:ascii="Aptos" w:hAnsi="Aptos"/>
                <w:b w:val="0"/>
                <w:color w:val="526B7A"/>
                <w:sz w:val="17"/>
              </w:rPr>
              <w:t>MRI is generally not supported as initial imaging.</w:t>
            </w:r>
          </w:p>
        </w:tc>
      </w:tr>
      <w:tr xmlns:wp14="http://schemas.microsoft.com/office/word/2010/wordml" w14:paraId="1DBD4375" wp14:textId="77777777">
        <w:tc>
          <w:tcPr>
            <w:tcW w:w="4536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7181D97" wp14:textId="77777777">
            <w:r>
              <w:rPr>
                <w:rFonts w:ascii="Aptos" w:hAnsi="Aptos"/>
                <w:b w:val="0"/>
                <w:color w:val="526B7A"/>
                <w:sz w:val="17"/>
              </w:rPr>
              <w:t>Subacute or chronic symptoms without red flags and without prior management</w:t>
            </w:r>
          </w:p>
        </w:tc>
        <w:tc>
          <w:tcPr>
            <w:tcW w:w="4824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030EAD6" wp14:textId="77777777">
            <w:r>
              <w:rPr>
                <w:rFonts w:ascii="Aptos" w:hAnsi="Aptos"/>
                <w:b w:val="0"/>
                <w:color w:val="526B7A"/>
                <w:sz w:val="17"/>
              </w:rPr>
              <w:t>MRI is generally not supported as initial imaging.</w:t>
            </w:r>
          </w:p>
        </w:tc>
      </w:tr>
      <w:tr xmlns:wp14="http://schemas.microsoft.com/office/word/2010/wordml" w14:paraId="75BF0463" wp14:textId="77777777">
        <w:tc>
          <w:tcPr>
            <w:tcW w:w="4536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E9C7B4A" wp14:textId="77777777">
            <w:r>
              <w:rPr>
                <w:rFonts w:ascii="Aptos" w:hAnsi="Aptos"/>
                <w:b w:val="0"/>
                <w:color w:val="526B7A"/>
                <w:sz w:val="17"/>
              </w:rPr>
              <w:t>Persistent or progressive symptoms after approximately six weeks of appropriate medical management and physical therapy; surgery/intervention is being considered</w:t>
            </w:r>
          </w:p>
        </w:tc>
        <w:tc>
          <w:tcPr>
            <w:tcW w:w="4824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A2E7B6E" wp14:textId="77777777">
            <w:r>
              <w:rPr>
                <w:rFonts w:ascii="Aptos" w:hAnsi="Aptos"/>
                <w:b w:val="0"/>
                <w:color w:val="526B7A"/>
                <w:sz w:val="17"/>
              </w:rPr>
              <w:t>Lumbar MRI without contrast may be supported when records document failed conservative care and current symptoms.</w:t>
            </w:r>
          </w:p>
        </w:tc>
      </w:tr>
      <w:tr xmlns:wp14="http://schemas.microsoft.com/office/word/2010/wordml" w14:paraId="7EABA94F" wp14:textId="77777777">
        <w:tc>
          <w:tcPr>
            <w:tcW w:w="4536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A11A6F7" wp14:textId="77777777">
            <w:r>
              <w:rPr>
                <w:rFonts w:ascii="Aptos" w:hAnsi="Aptos"/>
                <w:b w:val="0"/>
                <w:color w:val="526B7A"/>
                <w:sz w:val="17"/>
              </w:rPr>
              <w:t>Suspected cauda equina syndrome</w:t>
            </w:r>
          </w:p>
        </w:tc>
        <w:tc>
          <w:tcPr>
            <w:tcW w:w="4824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A455B19" wp14:textId="77777777">
            <w:r>
              <w:rPr>
                <w:rFonts w:ascii="Aptos" w:hAnsi="Aptos"/>
                <w:b w:val="0"/>
                <w:color w:val="526B7A"/>
                <w:sz w:val="17"/>
              </w:rPr>
              <w:t>Urgent MRI may be supported; emergency pathways should not be delayed for routine authorization.</w:t>
            </w:r>
          </w:p>
        </w:tc>
      </w:tr>
      <w:tr xmlns:wp14="http://schemas.microsoft.com/office/word/2010/wordml" w14:paraId="394973C9" wp14:textId="77777777">
        <w:tc>
          <w:tcPr>
            <w:tcW w:w="4536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EA8914B" wp14:textId="77777777">
            <w:r>
              <w:rPr>
                <w:rFonts w:ascii="Aptos" w:hAnsi="Aptos"/>
                <w:b w:val="0"/>
                <w:color w:val="526B7A"/>
                <w:sz w:val="17"/>
              </w:rPr>
              <w:t>Suspected malignancy, infection, or immunosuppression</w:t>
            </w:r>
          </w:p>
        </w:tc>
        <w:tc>
          <w:tcPr>
            <w:tcW w:w="4824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A7C1234" wp14:textId="77777777">
            <w:r>
              <w:rPr>
                <w:rFonts w:ascii="Aptos" w:hAnsi="Aptos"/>
                <w:b w:val="0"/>
                <w:color w:val="526B7A"/>
                <w:sz w:val="17"/>
              </w:rPr>
              <w:t>MRI may be supported when clinical red flags are documented.</w:t>
            </w:r>
          </w:p>
        </w:tc>
      </w:tr>
      <w:tr xmlns:wp14="http://schemas.microsoft.com/office/word/2010/wordml" w14:paraId="75081D40" wp14:textId="77777777">
        <w:tc>
          <w:tcPr>
            <w:tcW w:w="4536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95E6978" wp14:textId="77777777">
            <w:r>
              <w:rPr>
                <w:rFonts w:ascii="Aptos" w:hAnsi="Aptos"/>
                <w:b w:val="0"/>
                <w:color w:val="526B7A"/>
                <w:sz w:val="17"/>
              </w:rPr>
              <w:t>Prior lumbar surgery with new or progressive symptoms</w:t>
            </w:r>
          </w:p>
        </w:tc>
        <w:tc>
          <w:tcPr>
            <w:tcW w:w="4824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58BE31B" wp14:textId="77777777">
            <w:r>
              <w:rPr>
                <w:rFonts w:ascii="Aptos" w:hAnsi="Aptos"/>
                <w:b w:val="0"/>
                <w:color w:val="526B7A"/>
                <w:sz w:val="17"/>
              </w:rPr>
              <w:t>MRI may be supported; contrast selection depends on the clinical question.</w:t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65FCC729" wp14:textId="77777777">
      <w:pPr>
        <w:pStyle w:val="Heading1"/>
      </w:pPr>
      <w:r>
        <w:t>4. Required Documentation</w:t>
      </w:r>
    </w:p>
    <w:p xmlns:wp14="http://schemas.microsoft.com/office/word/2010/wordml" w14:paraId="5A7D714C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Clinical history and symptom duration</w:t>
      </w:r>
    </w:p>
    <w:p xmlns:wp14="http://schemas.microsoft.com/office/word/2010/wordml" w14:paraId="0F33262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Neurologic findings and red-flag assessment</w:t>
      </w:r>
    </w:p>
    <w:p xmlns:wp14="http://schemas.microsoft.com/office/word/2010/wordml" w14:paraId="6ABC65B8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Prior treatment, including medications and physical therapy when applicable</w:t>
      </w:r>
    </w:p>
    <w:p xmlns:wp14="http://schemas.microsoft.com/office/word/2010/wordml" w14:paraId="34790F8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Reason imaging will affect management</w:t>
      </w:r>
    </w:p>
    <w:p xmlns:wp14="http://schemas.microsoft.com/office/word/2010/wordml" w14:paraId="41942D3E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Requested site of service and rationale when an outpatient hospital is requested</w:t>
      </w:r>
    </w:p>
    <w:p xmlns:wp14="http://schemas.microsoft.com/office/word/2010/wordml" w14:paraId="1C594B2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Previous imaging results when relevant</w:t>
      </w:r>
    </w:p>
    <w:p xmlns:wp14="http://schemas.microsoft.com/office/word/2010/wordml" w14:paraId="5C89386F" wp14:textId="77777777">
      <w:pPr>
        <w:pStyle w:val="Heading1"/>
      </w:pPr>
      <w:r>
        <w:t>5. Noncoverage and Manual Review</w:t>
      </w:r>
    </w:p>
    <w:p xmlns:wp14="http://schemas.microsoft.com/office/word/2010/wordml" w14:paraId="6C690B2B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Requests lacking symptom duration, clinical findings, prior management, or a management-impact statement should be returned for additional information or manual review.</w:t>
      </w:r>
    </w:p>
    <w:p xmlns:wp14="http://schemas.microsoft.com/office/word/2010/wordml" w14:paraId="68C288E2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Cost or facility type alone must not establish medical necessity; however, site-of-care alternatives may be considered when the plan permits.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xmlns:wp14="http://schemas.microsoft.com/office/word/2010/wordml" w14:paraId="1482C5F3" wp14:textId="77777777">
        <w:tc>
          <w:tcPr>
            <w:tcW w:w="10166" w:type="dxa"/>
            <w:shd w:fill="DFF3E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left w:val="single" w:color="007F7B" w:sz="18"/>
            </w:tcBorders>
          </w:tcPr>
          <w:p w14:paraId="3D5DDBA4" wp14:textId="77777777">
            <w:r>
              <w:rPr>
                <w:rFonts w:ascii="Aptos" w:hAnsi="Aptos"/>
                <w:b/>
                <w:color w:val="123B5D"/>
                <w:sz w:val="21"/>
              </w:rPr>
              <w:t>RAG RETRIEVAL ANCHORS</w:t>
            </w:r>
          </w:p>
          <w:p w14:paraId="65FB53EC" wp14:textId="77777777">
            <w:pPr>
              <w:spacing w:after="0"/>
            </w:pPr>
            <w:r>
              <w:rPr>
                <w:rFonts w:ascii="Aptos" w:hAnsi="Aptos"/>
                <w:b w:val="0"/>
                <w:color w:val="526B7A"/>
                <w:sz w:val="18"/>
              </w:rPr>
              <w:t>Keywords: lumbar MRI, low back pain, radiculopathy, six weeks conservative therapy, red flags, cauda equina, outpatient hospital, site of care, precertification.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020773A0" wp14:textId="77777777">
      <w:pPr>
        <w:pStyle w:val="Heading2"/>
      </w:pPr>
      <w:r>
        <w:t>Source Framework Used for This Synthetic Policy</w:t>
      </w:r>
    </w:p>
    <w:p xmlns:wp14="http://schemas.microsoft.com/office/word/2010/wordml" w14:paraId="5837841F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The following public materials informed the structure and example criteria. This synthetic document summarizes concepts for a software demonstration and does not reproduce or replace the source documents.</w:t>
      </w:r>
    </w:p>
    <w:p xmlns:wp14="http://schemas.microsoft.com/office/word/2010/wordml" w14:paraId="76AE7411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Cigna provider radiology precertification resource (outpatient, nonemergency high-tech radiology and diagnostic cardiology).</w:t>
      </w:r>
    </w:p>
    <w:p xmlns:wp14="http://schemas.microsoft.com/office/word/2010/wordml" w14:paraId="05299117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ACR Appropriateness Criteria - Low Back Pain (clinical scenarios and imaging appropriateness).</w:t>
      </w:r>
    </w:p>
    <w:p xmlns:wp14="http://schemas.microsoft.com/office/word/2010/wordml" w14:paraId="515C34C5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Cigna coverage-policy disclaimer framework: member plan terms and case-specific facts control.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BD79DB" wp14:textId="77777777">
    <w:pPr>
      <w:pStyle w:val="Footer"/>
      <w:jc w:val="center"/>
    </w:pPr>
    <w:r>
      <w:rPr>
        <w:rFonts w:ascii="Aptos" w:hAnsi="Aptos"/>
        <w:b w:val="0"/>
        <w:color w:val="526B7A"/>
        <w:sz w:val="16"/>
      </w:rPr>
      <w:t>Synthetic POC policy document - not a coverage commitment or clinical guideline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DC0197C" wp14:textId="77777777">
    <w:pPr>
      <w:pStyle w:val="Header"/>
      <w:jc w:val="right"/>
    </w:pPr>
    <w:r>
      <w:rPr>
        <w:rFonts w:ascii="Aptos" w:hAnsi="Aptos"/>
        <w:b/>
        <w:color w:val="007F7B"/>
        <w:sz w:val="16"/>
      </w:rPr>
      <w:t>NORTHSTAR HEALTH PLAN | POLICY INTELLIGENCE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91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59EA81B-25D2-42DE-8123-A27F747C8A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color w:val="526B7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01 Advanced Imaging Lumbar MRI Policy</dc:title>
  <dc:subject/>
  <dc:creator>Jamalpur, Vinay Kumar</dc:creator>
  <keywords/>
  <dc:description>generated by python-docx</dc:description>
  <lastModifiedBy>Jamalpur, Vinay Kumar</lastModifiedBy>
  <revision>2</revision>
  <dcterms:created xsi:type="dcterms:W3CDTF">2026-09-23T05:52:08.7334972Z</dcterms:created>
  <dcterms:modified xsi:type="dcterms:W3CDTF">2026-09-23T05:55:10.7553986Z</dcterms:modified>
  <category/>
</coreProperties>
</file>