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4149415" wp14:textId="77777777">
      <w:pPr>
        <w:spacing w:before="440"/>
      </w:pPr>
      <w:r>
        <w:rPr>
          <w:rFonts w:ascii="Aptos" w:hAnsi="Aptos"/>
          <w:b/>
          <w:color w:val="007F7B"/>
          <w:sz w:val="20"/>
        </w:rPr>
        <w:t>MEDICAL COVERAGE POLICY</w:t>
      </w:r>
    </w:p>
    <w:p xmlns:wp14="http://schemas.microsoft.com/office/word/2010/wordml" w14:paraId="768E4E00" wp14:textId="77777777">
      <w:pPr>
        <w:spacing w:after="240"/>
      </w:pPr>
      <w:r>
        <w:rPr>
          <w:rFonts w:ascii="Aptos Display" w:hAnsi="Aptos Display"/>
          <w:b/>
          <w:color w:val="102A43"/>
          <w:sz w:val="50"/>
        </w:rPr>
        <w:t>Lumbar Spine Surgery and Microdiscectomy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xmlns:wp14="http://schemas.microsoft.com/office/word/2010/wordml" w14:paraId="34555160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22B0C43" wp14:textId="77777777">
            <w:r>
              <w:rPr>
                <w:rFonts w:ascii="Aptos" w:hAnsi="Aptos"/>
                <w:b/>
                <w:color w:val="123B5D"/>
                <w:sz w:val="18"/>
              </w:rPr>
              <w:t>Policy ID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764FDD85" wp14:textId="77777777">
            <w:r>
              <w:rPr>
                <w:rFonts w:ascii="Aptos" w:hAnsi="Aptos"/>
                <w:b w:val="0"/>
                <w:color w:val="526B7A"/>
                <w:sz w:val="18"/>
              </w:rPr>
              <w:t>NSHP-SPN-002</w:t>
            </w:r>
          </w:p>
        </w:tc>
      </w:tr>
      <w:tr xmlns:wp14="http://schemas.microsoft.com/office/word/2010/wordml" w14:paraId="18E260E8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E5A74F1" wp14:textId="77777777">
            <w:r>
              <w:rPr>
                <w:rFonts w:ascii="Aptos" w:hAnsi="Aptos"/>
                <w:b/>
                <w:color w:val="123B5D"/>
                <w:sz w:val="18"/>
              </w:rPr>
              <w:t>Category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3B03B8F1" wp14:textId="77777777">
            <w:r>
              <w:rPr>
                <w:rFonts w:ascii="Aptos" w:hAnsi="Aptos"/>
                <w:b w:val="0"/>
                <w:color w:val="526B7A"/>
                <w:sz w:val="18"/>
              </w:rPr>
              <w:t>Musculoskeletal and Neurosurgery</w:t>
            </w:r>
          </w:p>
        </w:tc>
      </w:tr>
      <w:tr xmlns:wp14="http://schemas.microsoft.com/office/word/2010/wordml" w14:paraId="45F021B8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B9FBFDD" wp14:textId="77777777">
            <w:r>
              <w:rPr>
                <w:rFonts w:ascii="Aptos" w:hAnsi="Aptos"/>
                <w:b/>
                <w:color w:val="123B5D"/>
                <w:sz w:val="18"/>
              </w:rPr>
              <w:t>Status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075B316A" wp14:textId="77777777">
            <w:r>
              <w:rPr>
                <w:rFonts w:ascii="Aptos" w:hAnsi="Aptos"/>
                <w:b w:val="0"/>
                <w:color w:val="526B7A"/>
                <w:sz w:val="18"/>
              </w:rPr>
              <w:t>POC SAMPLE - NOT AN OFFICIAL EFFECTIVE POLICY</w:t>
            </w:r>
          </w:p>
        </w:tc>
      </w:tr>
      <w:tr xmlns:wp14="http://schemas.microsoft.com/office/word/2010/wordml" w14:paraId="5802413F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334895F" wp14:textId="77777777">
            <w:r>
              <w:rPr>
                <w:rFonts w:ascii="Aptos" w:hAnsi="Aptos"/>
                <w:b/>
                <w:color w:val="123B5D"/>
                <w:sz w:val="18"/>
              </w:rPr>
              <w:t>Intended Use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71245986" wp14:textId="77777777">
            <w:r>
              <w:rPr>
                <w:rFonts w:ascii="Aptos" w:hAnsi="Aptos"/>
                <w:b w:val="0"/>
                <w:color w:val="526B7A"/>
                <w:sz w:val="18"/>
              </w:rPr>
              <w:t>Synthetic RAG demonstration and testing only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0A37501D" wp14:textId="77777777">
      <w:pPr>
        <w:spacing w:after="0"/>
      </w:pPr>
    </w:p>
    <w:p xmlns:wp14="http://schemas.microsoft.com/office/word/2010/wordml" w14:paraId="67DC5D1C" wp14:textId="77777777">
      <w:pPr>
        <w:pStyle w:val="Heading1"/>
      </w:pPr>
      <w:r>
        <w:t>1. Purpose and Scope</w:t>
      </w:r>
    </w:p>
    <w:p xmlns:wp14="http://schemas.microsoft.com/office/word/2010/wordml" w14:paraId="7BCB44F1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This synthetic policy supports review of elective lumbar decompression and microdiscectomy requests. It is intended to test retrieval of clinical criteria, documentation requirements, and escalation rules.</w:t>
      </w:r>
    </w:p>
    <w:p xmlns:wp14="http://schemas.microsoft.com/office/word/2010/wordml" w14:paraId="200BFAEC" wp14:textId="77777777">
      <w:pPr>
        <w:pStyle w:val="Heading1"/>
      </w:pPr>
      <w:r>
        <w:t>2. General Medical Necessity Principles</w:t>
      </w:r>
    </w:p>
    <w:p xmlns:wp14="http://schemas.microsoft.com/office/word/2010/wordml" w14:paraId="1FBE94A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Symptoms and objective findings should correlate with the spinal level and requested procedure.</w:t>
      </w:r>
    </w:p>
    <w:p xmlns:wp14="http://schemas.microsoft.com/office/word/2010/wordml" w14:paraId="13D4693A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The record should show functional limitation or clinically significant pain, weakness, or neurologic impairment.</w:t>
      </w:r>
    </w:p>
    <w:p xmlns:wp14="http://schemas.microsoft.com/office/word/2010/wordml" w14:paraId="766368AF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Nonoperative management should generally be attempted when clinically appropriate.</w:t>
      </w:r>
    </w:p>
    <w:p xmlns:wp14="http://schemas.microsoft.com/office/word/2010/wordml" w14:paraId="4C0DC748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Urgent neurologic conditions may bypass routine conservative-treatment expectations.</w:t>
      </w:r>
    </w:p>
    <w:p xmlns:wp14="http://schemas.microsoft.com/office/word/2010/wordml" w14:paraId="078E00AD" wp14:textId="77777777">
      <w:pPr>
        <w:pStyle w:val="Heading1"/>
      </w:pPr>
      <w:r>
        <w:t>3. Criteria for Elective Microdiscectomy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xmlns:wp14="http://schemas.microsoft.com/office/word/2010/wordml" w14:paraId="45786B58" wp14:textId="77777777">
        <w:tc>
          <w:tcPr>
            <w:tcW w:w="3168" w:type="dxa"/>
            <w:shd w:fill="123B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627B49D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w="6192" w:type="dxa"/>
            <w:shd w:fill="123B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A36C9E1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Expected evidence</w:t>
            </w:r>
          </w:p>
        </w:tc>
      </w:tr>
      <w:tr xmlns:wp14="http://schemas.microsoft.com/office/word/2010/wordml" w14:paraId="6B35104A" wp14:textId="77777777">
        <w:tc>
          <w:tcPr>
            <w:tcW w:w="3168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FD514B4" wp14:textId="77777777">
            <w:r>
              <w:rPr>
                <w:rFonts w:ascii="Aptos" w:hAnsi="Aptos"/>
                <w:b w:val="0"/>
                <w:color w:val="526B7A"/>
                <w:sz w:val="17"/>
              </w:rPr>
              <w:t>Compatible diagnosis</w:t>
            </w:r>
          </w:p>
        </w:tc>
        <w:tc>
          <w:tcPr>
            <w:tcW w:w="6192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3C8C8F0" wp14:textId="77777777">
            <w:r>
              <w:rPr>
                <w:rFonts w:ascii="Aptos" w:hAnsi="Aptos"/>
                <w:b w:val="0"/>
                <w:color w:val="526B7A"/>
                <w:sz w:val="17"/>
              </w:rPr>
              <w:t>Disc herniation or compressive pathology supported by imaging.</w:t>
            </w:r>
          </w:p>
        </w:tc>
      </w:tr>
      <w:tr xmlns:wp14="http://schemas.microsoft.com/office/word/2010/wordml" w14:paraId="44D97258" wp14:textId="77777777">
        <w:tc>
          <w:tcPr>
            <w:tcW w:w="3168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296C533" wp14:textId="77777777">
            <w:r>
              <w:rPr>
                <w:rFonts w:ascii="Aptos" w:hAnsi="Aptos"/>
                <w:b w:val="0"/>
                <w:color w:val="526B7A"/>
                <w:sz w:val="17"/>
              </w:rPr>
              <w:t>Clinical correlation</w:t>
            </w:r>
          </w:p>
        </w:tc>
        <w:tc>
          <w:tcPr>
            <w:tcW w:w="619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797A73F" wp14:textId="77777777">
            <w:r>
              <w:rPr>
                <w:rFonts w:ascii="Aptos" w:hAnsi="Aptos"/>
                <w:b w:val="0"/>
                <w:color w:val="526B7A"/>
                <w:sz w:val="17"/>
              </w:rPr>
              <w:t>Radicular symptoms, objective neurologic deficit, or function-limiting pain that matches imaging findings.</w:t>
            </w:r>
          </w:p>
        </w:tc>
      </w:tr>
      <w:tr xmlns:wp14="http://schemas.microsoft.com/office/word/2010/wordml" w14:paraId="4A3F6178" wp14:textId="77777777">
        <w:tc>
          <w:tcPr>
            <w:tcW w:w="3168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6AF6A96" wp14:textId="77777777">
            <w:r>
              <w:rPr>
                <w:rFonts w:ascii="Aptos" w:hAnsi="Aptos"/>
                <w:b w:val="0"/>
                <w:color w:val="526B7A"/>
                <w:sz w:val="17"/>
              </w:rPr>
              <w:t>Conservative care</w:t>
            </w:r>
          </w:p>
        </w:tc>
        <w:tc>
          <w:tcPr>
            <w:tcW w:w="6192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3A96EDC" wp14:textId="77777777">
            <w:r>
              <w:rPr>
                <w:rFonts w:ascii="Aptos" w:hAnsi="Aptos"/>
                <w:b w:val="0"/>
                <w:color w:val="526B7A"/>
                <w:sz w:val="17"/>
              </w:rPr>
              <w:t>Documented medications, activity modification, physical therapy, or other appropriate nonsurgical management with inadequate improvement.</w:t>
            </w:r>
          </w:p>
        </w:tc>
      </w:tr>
      <w:tr xmlns:wp14="http://schemas.microsoft.com/office/word/2010/wordml" w14:paraId="4CAD44C5" wp14:textId="77777777">
        <w:tc>
          <w:tcPr>
            <w:tcW w:w="3168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7ED5907" wp14:textId="77777777">
            <w:r>
              <w:rPr>
                <w:rFonts w:ascii="Aptos" w:hAnsi="Aptos"/>
                <w:b w:val="0"/>
                <w:color w:val="526B7A"/>
                <w:sz w:val="17"/>
              </w:rPr>
              <w:t>Duration</w:t>
            </w:r>
          </w:p>
        </w:tc>
        <w:tc>
          <w:tcPr>
            <w:tcW w:w="619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13D6EBE" wp14:textId="77777777">
            <w:r>
              <w:rPr>
                <w:rFonts w:ascii="Aptos" w:hAnsi="Aptos"/>
                <w:b w:val="0"/>
                <w:color w:val="526B7A"/>
                <w:sz w:val="17"/>
              </w:rPr>
              <w:t>Persistent symptoms despite a reasonable nonsurgical course; exact duration depends on severity and neurologic findings.</w:t>
            </w:r>
          </w:p>
        </w:tc>
      </w:tr>
      <w:tr xmlns:wp14="http://schemas.microsoft.com/office/word/2010/wordml" w14:paraId="0F1516D7" wp14:textId="77777777">
        <w:tc>
          <w:tcPr>
            <w:tcW w:w="3168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260E3F2" wp14:textId="77777777">
            <w:r>
              <w:rPr>
                <w:rFonts w:ascii="Aptos" w:hAnsi="Aptos"/>
                <w:b w:val="0"/>
                <w:color w:val="526B7A"/>
                <w:sz w:val="17"/>
              </w:rPr>
              <w:t>Specialist assessment</w:t>
            </w:r>
          </w:p>
        </w:tc>
        <w:tc>
          <w:tcPr>
            <w:tcW w:w="6192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C152F49" wp14:textId="77777777">
            <w:r>
              <w:rPr>
                <w:rFonts w:ascii="Aptos" w:hAnsi="Aptos"/>
                <w:b w:val="0"/>
                <w:color w:val="526B7A"/>
                <w:sz w:val="17"/>
              </w:rPr>
              <w:t>Evaluation and recommendation by an appropriately qualified spine specialist.</w:t>
            </w:r>
          </w:p>
        </w:tc>
      </w:tr>
      <w:tr xmlns:wp14="http://schemas.microsoft.com/office/word/2010/wordml" w14:paraId="0F2355D9" wp14:textId="77777777">
        <w:tc>
          <w:tcPr>
            <w:tcW w:w="3168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5A4F156" wp14:textId="77777777">
            <w:r>
              <w:rPr>
                <w:rFonts w:ascii="Aptos" w:hAnsi="Aptos"/>
                <w:b w:val="0"/>
                <w:color w:val="526B7A"/>
                <w:sz w:val="17"/>
              </w:rPr>
              <w:t>Surgical plan</w:t>
            </w:r>
          </w:p>
        </w:tc>
        <w:tc>
          <w:tcPr>
            <w:tcW w:w="619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63DC444" wp14:textId="77777777">
            <w:r>
              <w:rPr>
                <w:rFonts w:ascii="Aptos" w:hAnsi="Aptos"/>
                <w:b w:val="0"/>
                <w:color w:val="526B7A"/>
                <w:sz w:val="17"/>
              </w:rPr>
              <w:t>Procedure, level, laterality, setting, and expected benefit are documented.</w:t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04B9462D" wp14:textId="77777777">
      <w:pPr>
        <w:pStyle w:val="Heading1"/>
      </w:pPr>
      <w:r>
        <w:t>4. Expedited or Urgent Review</w:t>
      </w:r>
    </w:p>
    <w:p xmlns:wp14="http://schemas.microsoft.com/office/word/2010/wordml" w14:paraId="6A11A6F7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Suspected cauda equina syndrome</w:t>
      </w:r>
    </w:p>
    <w:p xmlns:wp14="http://schemas.microsoft.com/office/word/2010/wordml" w14:paraId="513CDD2D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Progressive motor weakness</w:t>
      </w:r>
    </w:p>
    <w:p xmlns:wp14="http://schemas.microsoft.com/office/word/2010/wordml" w14:paraId="4F01EA58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Severe neurologic compromise</w:t>
      </w:r>
    </w:p>
    <w:p xmlns:wp14="http://schemas.microsoft.com/office/word/2010/wordml" w14:paraId="192B2E3B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Infection, fracture, or malignancy requiring urgent intervention</w:t>
      </w:r>
    </w:p>
    <w:p xmlns:wp14="http://schemas.microsoft.com/office/word/2010/wordml" w14:paraId="2694A83E" wp14:textId="77777777">
      <w:pPr>
        <w:pStyle w:val="Heading1"/>
      </w:pPr>
      <w:r>
        <w:t>5. Manual Review Triggers</w:t>
      </w:r>
    </w:p>
    <w:p xmlns:wp14="http://schemas.microsoft.com/office/word/2010/wordml" w14:paraId="3308EE3E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Imaging does not match the symptoms or requested level</w:t>
      </w:r>
    </w:p>
    <w:p xmlns:wp14="http://schemas.microsoft.com/office/word/2010/wordml" w14:paraId="0B0E7C87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No evidence of conservative care and no documented reason it was inappropriate</w:t>
      </w:r>
    </w:p>
    <w:p xmlns:wp14="http://schemas.microsoft.com/office/word/2010/wordml" w14:paraId="2CC76715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Requested multilevel or extensive procedure is not explained</w:t>
      </w:r>
    </w:p>
    <w:p xmlns:wp14="http://schemas.microsoft.com/office/word/2010/wordml" w14:paraId="3888C8D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Provider specialty or facility capability is unclear</w:t>
      </w:r>
    </w:p>
    <w:p xmlns:wp14="http://schemas.microsoft.com/office/word/2010/wordml" w14:paraId="357752B1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Cost is a substantial outlier and the clinical complexity is not documented</w:t>
      </w:r>
    </w:p>
    <w:p xmlns:wp14="http://schemas.microsoft.com/office/word/2010/wordml" w14:paraId="76CE93E1" wp14:textId="77777777">
      <w:pPr>
        <w:pStyle w:val="Heading1"/>
      </w:pPr>
      <w:r>
        <w:t>6. Required Documents</w:t>
      </w:r>
    </w:p>
    <w:p xmlns:wp14="http://schemas.microsoft.com/office/word/2010/wordml" w14:paraId="01A4B3B5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Specialist consultation</w:t>
      </w:r>
    </w:p>
    <w:p xmlns:wp14="http://schemas.microsoft.com/office/word/2010/wordml" w14:paraId="1E22030F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MRI or CT report</w:t>
      </w:r>
    </w:p>
    <w:p xmlns:wp14="http://schemas.microsoft.com/office/word/2010/wordml" w14:paraId="1AE28171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Neurologic examination</w:t>
      </w:r>
    </w:p>
    <w:p xmlns:wp14="http://schemas.microsoft.com/office/word/2010/wordml" w14:paraId="49CE450B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Prior treatment history</w:t>
      </w:r>
    </w:p>
    <w:p xmlns:wp14="http://schemas.microsoft.com/office/word/2010/wordml" w14:paraId="334EE68F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Procedure and level details</w:t>
      </w:r>
    </w:p>
    <w:p xmlns:wp14="http://schemas.microsoft.com/office/word/2010/wordml" w14:paraId="75CE30A9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Facility and cost estimate when required by the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xmlns:wp14="http://schemas.microsoft.com/office/word/2010/wordml" w14:paraId="1B9E502C" wp14:textId="77777777">
        <w:tc>
          <w:tcPr>
            <w:tcW w:w="10166" w:type="dxa"/>
            <w:shd w:fill="DFF3E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left w:val="single" w:color="007F7B" w:sz="18"/>
            </w:tcBorders>
          </w:tcPr>
          <w:p w14:paraId="3D5DDBA4" wp14:textId="77777777">
            <w:r>
              <w:rPr>
                <w:rFonts w:ascii="Aptos" w:hAnsi="Aptos"/>
                <w:b/>
                <w:color w:val="123B5D"/>
                <w:sz w:val="21"/>
              </w:rPr>
              <w:t>RAG RETRIEVAL ANCHORS</w:t>
            </w:r>
          </w:p>
          <w:p w14:paraId="5818FC05" wp14:textId="77777777">
            <w:pPr>
              <w:spacing w:after="0"/>
            </w:pPr>
            <w:r>
              <w:rPr>
                <w:rFonts w:ascii="Aptos" w:hAnsi="Aptos"/>
                <w:b w:val="0"/>
                <w:color w:val="526B7A"/>
                <w:sz w:val="18"/>
              </w:rPr>
              <w:t>Keywords: microdiscectomy, lumbar disc herniation, radiculopathy, conservative treatment, physical therapy, neurologic deficit, cauda equina, spine surgery.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020773A0" wp14:textId="77777777">
      <w:pPr>
        <w:pStyle w:val="Heading2"/>
      </w:pPr>
      <w:r>
        <w:t>Source Framework Used for This Synthetic Policy</w:t>
      </w:r>
    </w:p>
    <w:p xmlns:wp14="http://schemas.microsoft.com/office/word/2010/wordml" w14:paraId="5837841F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The following public materials informed the structure and example criteria. This synthetic document summarizes concepts for a software demonstration and does not reproduce or replace the source documents.</w:t>
      </w:r>
    </w:p>
    <w:p xmlns:wp14="http://schemas.microsoft.com/office/word/2010/wordml" w14:paraId="041BE62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ACR low-back-pain imaging framework for red flags, persistent symptoms, and pre-intervention imaging.</w:t>
      </w:r>
    </w:p>
    <w:p xmlns:wp14="http://schemas.microsoft.com/office/word/2010/wordml" w14:paraId="6AD43FBF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General payer medical-necessity framework: plan terms, clinical evidence, and case-specific facts must be considered.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BD79DB" wp14:textId="77777777">
    <w:pPr>
      <w:pStyle w:val="Footer"/>
      <w:jc w:val="center"/>
    </w:pPr>
    <w:r>
      <w:rPr>
        <w:rFonts w:ascii="Aptos" w:hAnsi="Aptos"/>
        <w:b w:val="0"/>
        <w:color w:val="526B7A"/>
        <w:sz w:val="16"/>
      </w:rPr>
      <w:t>Synthetic POC policy document - not a coverage commitment or clinical guideline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DC0197C" wp14:textId="77777777">
    <w:pPr>
      <w:pStyle w:val="Header"/>
      <w:jc w:val="right"/>
    </w:pPr>
    <w:r>
      <w:rPr>
        <w:rFonts w:ascii="Aptos" w:hAnsi="Aptos"/>
        <w:b/>
        <w:color w:val="007F7B"/>
        <w:sz w:val="16"/>
      </w:rPr>
      <w:t>NORTHSTAR HEALTH PLAN | POLICY INTELLIGENCE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268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E450D1F-F5BB-4A50-A6F6-F1D8741E82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color w:val="526B7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02 Lumbar Spine Surgery Microdiscectomy Policy</dc:title>
  <dc:subject/>
  <dc:creator>Jamalpur, Vinay Kumar</dc:creator>
  <keywords/>
  <dc:description>generated by python-docx</dc:description>
  <lastModifiedBy>Jamalpur, Vinay Kumar</lastModifiedBy>
  <revision>2</revision>
  <dcterms:created xsi:type="dcterms:W3CDTF">2026-09-23T05:52:11.1103628Z</dcterms:created>
  <dcterms:modified xsi:type="dcterms:W3CDTF">2026-09-23T05:56:27.3056041Z</dcterms:modified>
  <category/>
</coreProperties>
</file>