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4149415" wp14:textId="77777777">
      <w:pPr>
        <w:spacing w:before="440"/>
      </w:pPr>
      <w:r>
        <w:rPr>
          <w:rFonts w:ascii="Aptos" w:hAnsi="Aptos"/>
          <w:b/>
          <w:color w:val="007F7B"/>
          <w:sz w:val="20"/>
        </w:rPr>
        <w:t>MEDICAL COVERAGE POLICY</w:t>
      </w:r>
    </w:p>
    <w:p xmlns:wp14="http://schemas.microsoft.com/office/word/2010/wordml" w14:paraId="57C2B0E9" wp14:textId="77777777">
      <w:pPr>
        <w:spacing w:after="240"/>
      </w:pPr>
      <w:r>
        <w:rPr>
          <w:rFonts w:ascii="Aptos Display" w:hAnsi="Aptos Display"/>
          <w:b/>
          <w:color w:val="102A43"/>
          <w:sz w:val="50"/>
        </w:rPr>
        <w:t>Coronary Revascularization and CABG Review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xmlns:wp14="http://schemas.microsoft.com/office/word/2010/wordml" w14:paraId="70331302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22B0C43" wp14:textId="77777777">
            <w:r>
              <w:rPr>
                <w:rFonts w:ascii="Aptos" w:hAnsi="Aptos"/>
                <w:b/>
                <w:color w:val="123B5D"/>
                <w:sz w:val="18"/>
              </w:rPr>
              <w:t>Policy ID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7E7C6438" wp14:textId="77777777">
            <w:r>
              <w:rPr>
                <w:rFonts w:ascii="Aptos" w:hAnsi="Aptos"/>
                <w:b w:val="0"/>
                <w:color w:val="526B7A"/>
                <w:sz w:val="18"/>
              </w:rPr>
              <w:t>NSHP-CAR-003</w:t>
            </w:r>
          </w:p>
        </w:tc>
      </w:tr>
      <w:tr xmlns:wp14="http://schemas.microsoft.com/office/word/2010/wordml" w14:paraId="0428CDA1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E5A74F1" wp14:textId="77777777">
            <w:r>
              <w:rPr>
                <w:rFonts w:ascii="Aptos" w:hAnsi="Aptos"/>
                <w:b/>
                <w:color w:val="123B5D"/>
                <w:sz w:val="18"/>
              </w:rPr>
              <w:t>Category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26794252" wp14:textId="77777777">
            <w:r>
              <w:rPr>
                <w:rFonts w:ascii="Aptos" w:hAnsi="Aptos"/>
                <w:b w:val="0"/>
                <w:color w:val="526B7A"/>
                <w:sz w:val="18"/>
              </w:rPr>
              <w:t>Cardiology and Cardiac Surgery</w:t>
            </w:r>
          </w:p>
        </w:tc>
      </w:tr>
      <w:tr xmlns:wp14="http://schemas.microsoft.com/office/word/2010/wordml" w14:paraId="45F021B8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B9FBFDD" wp14:textId="77777777">
            <w:r>
              <w:rPr>
                <w:rFonts w:ascii="Aptos" w:hAnsi="Aptos"/>
                <w:b/>
                <w:color w:val="123B5D"/>
                <w:sz w:val="18"/>
              </w:rPr>
              <w:t>Status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075B316A" wp14:textId="77777777">
            <w:r>
              <w:rPr>
                <w:rFonts w:ascii="Aptos" w:hAnsi="Aptos"/>
                <w:b w:val="0"/>
                <w:color w:val="526B7A"/>
                <w:sz w:val="18"/>
              </w:rPr>
              <w:t>POC SAMPLE - NOT AN OFFICIAL EFFECTIVE POLICY</w:t>
            </w:r>
          </w:p>
        </w:tc>
      </w:tr>
      <w:tr xmlns:wp14="http://schemas.microsoft.com/office/word/2010/wordml" w14:paraId="5802413F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334895F" wp14:textId="77777777">
            <w:r>
              <w:rPr>
                <w:rFonts w:ascii="Aptos" w:hAnsi="Aptos"/>
                <w:b/>
                <w:color w:val="123B5D"/>
                <w:sz w:val="18"/>
              </w:rPr>
              <w:t>Intended Use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71245986" wp14:textId="77777777">
            <w:r>
              <w:rPr>
                <w:rFonts w:ascii="Aptos" w:hAnsi="Aptos"/>
                <w:b w:val="0"/>
                <w:color w:val="526B7A"/>
                <w:sz w:val="18"/>
              </w:rPr>
              <w:t>Synthetic RAG demonstration and testing only</w:t>
            </w:r>
          </w:p>
        </w:tc>
      </w:tr>
    </w:tbl>
    <w:p xmlns:wp14="http://schemas.microsoft.com/office/word/2010/wordml" w:rsidP="6A00B53C" w14:paraId="0A37501D" wp14:textId="3F0FB8A1">
      <w:pPr>
        <w:pStyle w:val="Normal"/>
        <w:spacing w:after="0"/>
      </w:pPr>
    </w:p>
    <w:p xmlns:wp14="http://schemas.microsoft.com/office/word/2010/wordml" w14:paraId="67DC5D1C" wp14:textId="77777777">
      <w:pPr>
        <w:pStyle w:val="Heading1"/>
      </w:pPr>
      <w:r>
        <w:t>1. Purpose and Scope</w:t>
      </w:r>
    </w:p>
    <w:p xmlns:wp14="http://schemas.microsoft.com/office/word/2010/wordml" w14:paraId="6570D9E9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This synthetic policy supports review of elective coronary angiography, percutaneous coronary intervention, and coronary artery bypass grafting requests. Decisions require clinical indications, disease complexity, technical feasibility, and patient-centered review.</w:t>
      </w:r>
    </w:p>
    <w:p xmlns:wp14="http://schemas.microsoft.com/office/word/2010/wordml" w14:paraId="37B9BBA7" wp14:textId="77777777">
      <w:pPr>
        <w:pStyle w:val="Heading1"/>
      </w:pPr>
      <w:r>
        <w:t>2. Prior Authorization and Documentation</w:t>
      </w:r>
    </w:p>
    <w:p xmlns:wp14="http://schemas.microsoft.com/office/word/2010/wordml" w14:paraId="6EA5F7C5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Outpatient diagnostic cardiac catheterization may require precertification when the applicable benefit plan requires it.</w:t>
      </w:r>
    </w:p>
    <w:p xmlns:wp14="http://schemas.microsoft.com/office/word/2010/wordml" w14:paraId="1A806EE0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The record should include symptoms, prior testing, coronary anatomy, current medical therapy, and the proposed intervention.</w:t>
      </w:r>
    </w:p>
    <w:p xmlns:wp14="http://schemas.microsoft.com/office/word/2010/wordml" w14:paraId="28D930C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Requests for CABG should include cardiology and cardiac-surgery documentation sufficient to explain why surgical revascularization is preferred.</w:t>
      </w:r>
    </w:p>
    <w:p xmlns:wp14="http://schemas.microsoft.com/office/word/2010/wordml" w14:paraId="602D4605" wp14:textId="77777777">
      <w:pPr>
        <w:pStyle w:val="Heading1"/>
      </w:pPr>
      <w:r>
        <w:t>3. Clinical Review Considerations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xmlns:wp14="http://schemas.microsoft.com/office/word/2010/wordml" w14:paraId="16592E5F" wp14:textId="77777777">
        <w:tc>
          <w:tcPr>
            <w:tcW w:w="3888" w:type="dxa"/>
            <w:shd w:fill="123B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30FDE5E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w="5472" w:type="dxa"/>
            <w:shd w:fill="123B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D1E77FF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Synthetic review position</w:t>
            </w:r>
          </w:p>
        </w:tc>
      </w:tr>
      <w:tr xmlns:wp14="http://schemas.microsoft.com/office/word/2010/wordml" w14:paraId="7E731EB3" wp14:textId="77777777">
        <w:tc>
          <w:tcPr>
            <w:tcW w:w="3888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5832C03" wp14:textId="77777777">
            <w:r>
              <w:rPr>
                <w:rFonts w:ascii="Aptos" w:hAnsi="Aptos"/>
                <w:b w:val="0"/>
                <w:color w:val="526B7A"/>
                <w:sz w:val="17"/>
              </w:rPr>
              <w:t>Significant left main disease</w:t>
            </w:r>
          </w:p>
        </w:tc>
        <w:tc>
          <w:tcPr>
            <w:tcW w:w="5472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48C6586" wp14:textId="77777777">
            <w:r>
              <w:rPr>
                <w:rFonts w:ascii="Aptos" w:hAnsi="Aptos"/>
                <w:b w:val="0"/>
                <w:color w:val="526B7A"/>
                <w:sz w:val="17"/>
              </w:rPr>
              <w:t>Surgical revascularization may be supported; PCI may be considered for selected patients when anatomy is suitable.</w:t>
            </w:r>
          </w:p>
        </w:tc>
      </w:tr>
      <w:tr xmlns:wp14="http://schemas.microsoft.com/office/word/2010/wordml" w14:paraId="33CCDEA2" wp14:textId="77777777">
        <w:tc>
          <w:tcPr>
            <w:tcW w:w="3888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5B418B7" wp14:textId="77777777">
            <w:r>
              <w:rPr>
                <w:rFonts w:ascii="Aptos" w:hAnsi="Aptos"/>
                <w:b w:val="0"/>
                <w:color w:val="526B7A"/>
                <w:sz w:val="17"/>
              </w:rPr>
              <w:t>Triple-vessel coronary disease</w:t>
            </w:r>
          </w:p>
        </w:tc>
        <w:tc>
          <w:tcPr>
            <w:tcW w:w="547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35DF67B" wp14:textId="77777777">
            <w:r>
              <w:rPr>
                <w:rFonts w:ascii="Aptos" w:hAnsi="Aptos"/>
                <w:b w:val="0"/>
                <w:color w:val="526B7A"/>
                <w:sz w:val="17"/>
              </w:rPr>
              <w:t>CABG may be supported after assessment of disease complexity, ventricular function, diabetes status, and surgical risk.</w:t>
            </w:r>
          </w:p>
        </w:tc>
      </w:tr>
      <w:tr xmlns:wp14="http://schemas.microsoft.com/office/word/2010/wordml" w14:paraId="34EA2EF7" wp14:textId="77777777">
        <w:tc>
          <w:tcPr>
            <w:tcW w:w="3888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4AF172D" wp14:textId="77777777">
            <w:r>
              <w:rPr>
                <w:rFonts w:ascii="Aptos" w:hAnsi="Aptos"/>
                <w:b w:val="0"/>
                <w:color w:val="526B7A"/>
                <w:sz w:val="17"/>
              </w:rPr>
              <w:t>Diabetes with multivessel disease</w:t>
            </w:r>
          </w:p>
        </w:tc>
        <w:tc>
          <w:tcPr>
            <w:tcW w:w="5472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7684406" wp14:textId="77777777">
            <w:r>
              <w:rPr>
                <w:rFonts w:ascii="Aptos" w:hAnsi="Aptos"/>
                <w:b w:val="0"/>
                <w:color w:val="526B7A"/>
                <w:sz w:val="17"/>
              </w:rPr>
              <w:t>Heart Team review and surgical revascularization should be considered.</w:t>
            </w:r>
          </w:p>
        </w:tc>
      </w:tr>
      <w:tr xmlns:wp14="http://schemas.microsoft.com/office/word/2010/wordml" w14:paraId="1830A98E" wp14:textId="77777777">
        <w:tc>
          <w:tcPr>
            <w:tcW w:w="3888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FB67680" wp14:textId="77777777">
            <w:r>
              <w:rPr>
                <w:rFonts w:ascii="Aptos" w:hAnsi="Aptos"/>
                <w:b w:val="0"/>
                <w:color w:val="526B7A"/>
                <w:sz w:val="17"/>
              </w:rPr>
              <w:t>Unclear optimal strategy</w:t>
            </w:r>
          </w:p>
        </w:tc>
        <w:tc>
          <w:tcPr>
            <w:tcW w:w="547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43A333A" wp14:textId="77777777">
            <w:r>
              <w:rPr>
                <w:rFonts w:ascii="Aptos" w:hAnsi="Aptos"/>
                <w:b w:val="0"/>
                <w:color w:val="526B7A"/>
                <w:sz w:val="17"/>
              </w:rPr>
              <w:t>A multidisciplinary Heart Team discussion is expected.</w:t>
            </w:r>
          </w:p>
        </w:tc>
      </w:tr>
      <w:tr xmlns:wp14="http://schemas.microsoft.com/office/word/2010/wordml" w14:paraId="0AFB1BD7" wp14:textId="77777777">
        <w:tc>
          <w:tcPr>
            <w:tcW w:w="3888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2AE4DDC" wp14:textId="77777777">
            <w:r>
              <w:rPr>
                <w:rFonts w:ascii="Aptos" w:hAnsi="Aptos"/>
                <w:b w:val="0"/>
                <w:color w:val="526B7A"/>
                <w:sz w:val="17"/>
              </w:rPr>
              <w:t>Stable symptoms without adequate diagnostic support</w:t>
            </w:r>
          </w:p>
        </w:tc>
        <w:tc>
          <w:tcPr>
            <w:tcW w:w="5472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F77FA10" wp14:textId="77777777">
            <w:r>
              <w:rPr>
                <w:rFonts w:ascii="Aptos" w:hAnsi="Aptos"/>
                <w:b w:val="0"/>
                <w:color w:val="526B7A"/>
                <w:sz w:val="17"/>
              </w:rPr>
              <w:t>Return for additional information or manual review.</w:t>
            </w:r>
          </w:p>
        </w:tc>
      </w:tr>
      <w:tr xmlns:wp14="http://schemas.microsoft.com/office/word/2010/wordml" w14:paraId="534B7AFE" wp14:textId="77777777">
        <w:tc>
          <w:tcPr>
            <w:tcW w:w="3888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1E82EBC" wp14:textId="77777777">
            <w:r>
              <w:rPr>
                <w:rFonts w:ascii="Aptos" w:hAnsi="Aptos"/>
                <w:b w:val="0"/>
                <w:color w:val="526B7A"/>
                <w:sz w:val="17"/>
              </w:rPr>
              <w:t>Diagnosis unrelated to coronary disease</w:t>
            </w:r>
          </w:p>
        </w:tc>
        <w:tc>
          <w:tcPr>
            <w:tcW w:w="547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FF9FEDA" wp14:textId="77777777">
            <w:r>
              <w:rPr>
                <w:rFonts w:ascii="Aptos" w:hAnsi="Aptos"/>
                <w:b w:val="0"/>
                <w:color w:val="526B7A"/>
                <w:sz w:val="17"/>
              </w:rPr>
              <w:t>CABG or coronary intervention is not supported without evidence of coronary pathology.</w:t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0B28B6CA" wp14:textId="77777777">
      <w:pPr>
        <w:pStyle w:val="Heading1"/>
      </w:pPr>
      <w:r>
        <w:t>4. Required Evidence</w:t>
      </w:r>
    </w:p>
    <w:p xmlns:wp14="http://schemas.microsoft.com/office/word/2010/wordml" w14:paraId="287B6FC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Coronary angiography or other accepted anatomic assessment</w:t>
      </w:r>
    </w:p>
    <w:p xmlns:wp14="http://schemas.microsoft.com/office/word/2010/wordml" w14:paraId="1188777D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Symptoms and severity</w:t>
      </w:r>
    </w:p>
    <w:p xmlns:wp14="http://schemas.microsoft.com/office/word/2010/wordml" w14:paraId="215F71E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Stress testing or ischemia evidence when applicable</w:t>
      </w:r>
    </w:p>
    <w:p xmlns:wp14="http://schemas.microsoft.com/office/word/2010/wordml" w14:paraId="55539C65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Left ventricular function</w:t>
      </w:r>
    </w:p>
    <w:p xmlns:wp14="http://schemas.microsoft.com/office/word/2010/wordml" w14:paraId="521738AB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Current guideline-directed medical therapy</w:t>
      </w:r>
    </w:p>
    <w:p xmlns:wp14="http://schemas.microsoft.com/office/word/2010/wordml" w14:paraId="3CD3BF4C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Diabetes and major comorbidities</w:t>
      </w:r>
    </w:p>
    <w:p xmlns:wp14="http://schemas.microsoft.com/office/word/2010/wordml" w14:paraId="6714C153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Heart Team or specialist rationale for the selected strategy</w:t>
      </w:r>
    </w:p>
    <w:p xmlns:wp14="http://schemas.microsoft.com/office/word/2010/wordml" w14:paraId="0B219230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Surgical-risk assessment when CABG is proposed</w:t>
      </w:r>
    </w:p>
    <w:p xmlns:wp14="http://schemas.microsoft.com/office/word/2010/wordml" w14:paraId="27F684C8" wp14:textId="77777777">
      <w:pPr>
        <w:pStyle w:val="Heading1"/>
      </w:pPr>
      <w:r>
        <w:t>5. Decision Guidance</w:t>
      </w:r>
    </w:p>
    <w:p xmlns:wp14="http://schemas.microsoft.com/office/word/2010/wordml" w14:paraId="0C02BDB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Approve when the diagnosis, coronary anatomy, symptoms, and treatment plan are clinically coherent and documentation is complete.</w:t>
      </w:r>
    </w:p>
    <w:p xmlns:wp14="http://schemas.microsoft.com/office/word/2010/wordml" w14:paraId="38FDA5DC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Use manual review when anatomy is complex, the optimal strategy is uncertain, or documentation is incomplete.</w:t>
      </w:r>
    </w:p>
    <w:p xmlns:wp14="http://schemas.microsoft.com/office/word/2010/wordml" w14:paraId="2D1AE6C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Reject only when there is clear contradiction, such as no coronary disease evidence for a requested CABG, subject to clinical escalation processes.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xmlns:wp14="http://schemas.microsoft.com/office/word/2010/wordml" w14:paraId="03074CC7" wp14:textId="77777777">
        <w:tc>
          <w:tcPr>
            <w:tcW w:w="10166" w:type="dxa"/>
            <w:shd w:fill="DFF3E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left w:val="single" w:color="007F7B" w:sz="18"/>
            </w:tcBorders>
          </w:tcPr>
          <w:p w14:paraId="3D5DDBA4" wp14:textId="77777777">
            <w:r>
              <w:rPr>
                <w:rFonts w:ascii="Aptos" w:hAnsi="Aptos"/>
                <w:b/>
                <w:color w:val="123B5D"/>
                <w:sz w:val="21"/>
              </w:rPr>
              <w:t>RAG RETRIEVAL ANCHORS</w:t>
            </w:r>
          </w:p>
          <w:p w14:paraId="0C59DC10" wp14:textId="77777777">
            <w:pPr>
              <w:spacing w:after="0"/>
            </w:pPr>
            <w:r>
              <w:rPr>
                <w:rFonts w:ascii="Aptos" w:hAnsi="Aptos"/>
                <w:b w:val="0"/>
                <w:color w:val="526B7A"/>
                <w:sz w:val="18"/>
              </w:rPr>
              <w:t>Keywords: CABG, coronary artery disease, left main disease, triple-vessel disease, PCI, angiography, Heart Team, diabetes, revascularization.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020773A0" wp14:textId="77777777">
      <w:pPr>
        <w:pStyle w:val="Heading2"/>
      </w:pPr>
      <w:r>
        <w:t>Source Framework Used for This Synthetic Policy</w:t>
      </w:r>
    </w:p>
    <w:p xmlns:wp14="http://schemas.microsoft.com/office/word/2010/wordml" w14:paraId="5837841F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The following public materials informed the structure and example criteria. This synthetic document summarizes concepts for a software demonstration and does not reproduce or replace the source documents.</w:t>
      </w:r>
    </w:p>
    <w:p xmlns:wp14="http://schemas.microsoft.com/office/word/2010/wordml" w14:paraId="56F50B22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2021 ACC/AHA/SCAI coronary revascularization guideline key perspectives.</w:t>
      </w:r>
    </w:p>
    <w:p xmlns:wp14="http://schemas.microsoft.com/office/word/2010/wordml" w14:paraId="555887DC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Cigna provider radiology/diagnostic cardiology precertification resource.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BD79DB" wp14:textId="77777777">
    <w:pPr>
      <w:pStyle w:val="Footer"/>
      <w:jc w:val="center"/>
    </w:pPr>
    <w:r>
      <w:rPr>
        <w:rFonts w:ascii="Aptos" w:hAnsi="Aptos"/>
        <w:b w:val="0"/>
        <w:color w:val="526B7A"/>
        <w:sz w:val="16"/>
      </w:rPr>
      <w:t>Synthetic POC policy document - not a coverage commitment or clinical guideline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DC0197C" wp14:textId="77777777">
    <w:pPr>
      <w:pStyle w:val="Header"/>
      <w:jc w:val="right"/>
    </w:pPr>
    <w:r>
      <w:rPr>
        <w:rFonts w:ascii="Aptos" w:hAnsi="Aptos"/>
        <w:b/>
        <w:color w:val="007F7B"/>
        <w:sz w:val="16"/>
      </w:rPr>
      <w:t>NORTHSTAR HEALTH PLAN | POLICY INTELLIGENCE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00B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32CF403-A371-470B-B90B-BFA644F986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color w:val="526B7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03 Coronary Revascularization CABG Policy</dc:title>
  <dc:subject/>
  <dc:creator>Jamalpur, Vinay Kumar</dc:creator>
  <keywords/>
  <dc:description>generated by python-docx</dc:description>
  <lastModifiedBy>Jamalpur, Vinay Kumar</lastModifiedBy>
  <revision>2</revision>
  <dcterms:created xsi:type="dcterms:W3CDTF">2026-09-23T05:52:12.6464247Z</dcterms:created>
  <dcterms:modified xsi:type="dcterms:W3CDTF">2026-09-23T05:57:13.3864837Z</dcterms:modified>
  <category/>
</coreProperties>
</file>