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4149415" wp14:textId="77777777">
      <w:pPr>
        <w:spacing w:before="440"/>
      </w:pPr>
      <w:r>
        <w:rPr>
          <w:rFonts w:ascii="Aptos" w:hAnsi="Aptos"/>
          <w:b/>
          <w:color w:val="007F7B"/>
          <w:sz w:val="20"/>
        </w:rPr>
        <w:t>MEDICAL COVERAGE POLICY</w:t>
      </w:r>
    </w:p>
    <w:p xmlns:wp14="http://schemas.microsoft.com/office/word/2010/wordml" w14:paraId="1F47FBF2" wp14:textId="77777777">
      <w:pPr>
        <w:spacing w:after="240"/>
      </w:pPr>
      <w:r>
        <w:rPr>
          <w:rFonts w:ascii="Aptos Display" w:hAnsi="Aptos Display"/>
          <w:b/>
          <w:color w:val="102A43"/>
          <w:sz w:val="50"/>
        </w:rPr>
        <w:t>Total Knee Arthroplasty</w:t>
      </w:r>
    </w:p>
    <w:tbl>
      <w:tblPr>
        <w:tblStyle w:val="TableGrid"/>
        <w:tblW w:w="0" w:type="auto"/>
        <w:jc w:val="left"/>
        <w:tblLayout w:type="fixed"/>
        <w:tblLook w:val="04A0" w:firstRow="1" w:lastRow="0" w:firstColumn="1" w:lastColumn="0" w:noHBand="0" w:noVBand="1"/>
      </w:tblPr>
      <w:tblGrid>
        <w:gridCol w:w="5083"/>
        <w:gridCol w:w="5083"/>
      </w:tblGrid>
      <w:tr xmlns:wp14="http://schemas.microsoft.com/office/word/2010/wordml" w14:paraId="6497F072" wp14:textId="77777777">
        <w:tc>
          <w:tcPr>
            <w:tcW w:w="2448" w:type="dxa"/>
            <w:shd w:fill="E8F3F7"/>
            <w:tcMar>
              <w:top w:w="120" w:type="dxa"/>
              <w:start w:w="120" w:type="dxa"/>
              <w:bottom w:w="120" w:type="dxa"/>
              <w:end w:w="120" w:type="dxa"/>
            </w:tcMar>
          </w:tcPr>
          <w:p w14:paraId="122B0C43" wp14:textId="77777777">
            <w:r>
              <w:rPr>
                <w:rFonts w:ascii="Aptos" w:hAnsi="Aptos"/>
                <w:b/>
                <w:color w:val="123B5D"/>
                <w:sz w:val="18"/>
              </w:rPr>
              <w:t>Policy ID</w:t>
            </w:r>
          </w:p>
        </w:tc>
        <w:tc>
          <w:tcPr>
            <w:tcW w:w="6912" w:type="dxa"/>
            <w:shd w:fill="FFFFFF"/>
            <w:tcMar>
              <w:top w:w="120" w:type="dxa"/>
              <w:start w:w="120" w:type="dxa"/>
              <w:bottom w:w="120" w:type="dxa"/>
              <w:end w:w="120" w:type="dxa"/>
            </w:tcMar>
          </w:tcPr>
          <w:p w14:paraId="3F5A1649" wp14:textId="77777777">
            <w:r>
              <w:rPr>
                <w:rFonts w:ascii="Aptos" w:hAnsi="Aptos"/>
                <w:b w:val="0"/>
                <w:color w:val="526B7A"/>
                <w:sz w:val="18"/>
              </w:rPr>
              <w:t>NSHP-ORT-004</w:t>
            </w:r>
          </w:p>
        </w:tc>
      </w:tr>
      <w:tr xmlns:wp14="http://schemas.microsoft.com/office/word/2010/wordml" w14:paraId="7CD99274" wp14:textId="77777777">
        <w:tc>
          <w:tcPr>
            <w:tcW w:w="2448" w:type="dxa"/>
            <w:shd w:fill="E8F3F7"/>
            <w:tcMar>
              <w:top w:w="120" w:type="dxa"/>
              <w:start w:w="120" w:type="dxa"/>
              <w:bottom w:w="120" w:type="dxa"/>
              <w:end w:w="120" w:type="dxa"/>
            </w:tcMar>
          </w:tcPr>
          <w:p w14:paraId="1E5A74F1" wp14:textId="77777777">
            <w:r>
              <w:rPr>
                <w:rFonts w:ascii="Aptos" w:hAnsi="Aptos"/>
                <w:b/>
                <w:color w:val="123B5D"/>
                <w:sz w:val="18"/>
              </w:rPr>
              <w:t>Category</w:t>
            </w:r>
          </w:p>
        </w:tc>
        <w:tc>
          <w:tcPr>
            <w:tcW w:w="6912" w:type="dxa"/>
            <w:shd w:fill="FFFFFF"/>
            <w:tcMar>
              <w:top w:w="120" w:type="dxa"/>
              <w:start w:w="120" w:type="dxa"/>
              <w:bottom w:w="120" w:type="dxa"/>
              <w:end w:w="120" w:type="dxa"/>
            </w:tcMar>
          </w:tcPr>
          <w:p w14:paraId="78D86F27" wp14:textId="77777777">
            <w:r>
              <w:rPr>
                <w:rFonts w:ascii="Aptos" w:hAnsi="Aptos"/>
                <w:b w:val="0"/>
                <w:color w:val="526B7A"/>
                <w:sz w:val="18"/>
              </w:rPr>
              <w:t>Orthopedic Surgery</w:t>
            </w:r>
          </w:p>
        </w:tc>
      </w:tr>
      <w:tr xmlns:wp14="http://schemas.microsoft.com/office/word/2010/wordml" w14:paraId="45F021B8" wp14:textId="77777777">
        <w:tc>
          <w:tcPr>
            <w:tcW w:w="2448" w:type="dxa"/>
            <w:shd w:fill="E8F3F7"/>
            <w:tcMar>
              <w:top w:w="120" w:type="dxa"/>
              <w:start w:w="120" w:type="dxa"/>
              <w:bottom w:w="120" w:type="dxa"/>
              <w:end w:w="120" w:type="dxa"/>
            </w:tcMar>
          </w:tcPr>
          <w:p w14:paraId="1B9FBFDD" wp14:textId="77777777">
            <w:r>
              <w:rPr>
                <w:rFonts w:ascii="Aptos" w:hAnsi="Aptos"/>
                <w:b/>
                <w:color w:val="123B5D"/>
                <w:sz w:val="18"/>
              </w:rPr>
              <w:t>Status</w:t>
            </w:r>
          </w:p>
        </w:tc>
        <w:tc>
          <w:tcPr>
            <w:tcW w:w="6912" w:type="dxa"/>
            <w:shd w:fill="FFFFFF"/>
            <w:tcMar>
              <w:top w:w="120" w:type="dxa"/>
              <w:start w:w="120" w:type="dxa"/>
              <w:bottom w:w="120" w:type="dxa"/>
              <w:end w:w="120" w:type="dxa"/>
            </w:tcMar>
          </w:tcPr>
          <w:p w14:paraId="075B316A" wp14:textId="77777777">
            <w:r>
              <w:rPr>
                <w:rFonts w:ascii="Aptos" w:hAnsi="Aptos"/>
                <w:b w:val="0"/>
                <w:color w:val="526B7A"/>
                <w:sz w:val="18"/>
              </w:rPr>
              <w:t>POC SAMPLE - NOT AN OFFICIAL EFFECTIVE POLICY</w:t>
            </w:r>
          </w:p>
        </w:tc>
      </w:tr>
      <w:tr xmlns:wp14="http://schemas.microsoft.com/office/word/2010/wordml" w14:paraId="5802413F" wp14:textId="77777777">
        <w:tc>
          <w:tcPr>
            <w:tcW w:w="2448" w:type="dxa"/>
            <w:shd w:fill="E8F3F7"/>
            <w:tcMar>
              <w:top w:w="120" w:type="dxa"/>
              <w:start w:w="120" w:type="dxa"/>
              <w:bottom w:w="120" w:type="dxa"/>
              <w:end w:w="120" w:type="dxa"/>
            </w:tcMar>
          </w:tcPr>
          <w:p w14:paraId="1334895F" wp14:textId="77777777">
            <w:r>
              <w:rPr>
                <w:rFonts w:ascii="Aptos" w:hAnsi="Aptos"/>
                <w:b/>
                <w:color w:val="123B5D"/>
                <w:sz w:val="18"/>
              </w:rPr>
              <w:t>Intended Use</w:t>
            </w:r>
          </w:p>
        </w:tc>
        <w:tc>
          <w:tcPr>
            <w:tcW w:w="6912" w:type="dxa"/>
            <w:shd w:fill="FFFFFF"/>
            <w:tcMar>
              <w:top w:w="120" w:type="dxa"/>
              <w:start w:w="120" w:type="dxa"/>
              <w:bottom w:w="120" w:type="dxa"/>
              <w:end w:w="120" w:type="dxa"/>
            </w:tcMar>
          </w:tcPr>
          <w:p w14:paraId="71245986" wp14:textId="77777777">
            <w:r>
              <w:rPr>
                <w:rFonts w:ascii="Aptos" w:hAnsi="Aptos"/>
                <w:b w:val="0"/>
                <w:color w:val="526B7A"/>
                <w:sz w:val="18"/>
              </w:rPr>
              <w:t>Synthetic RAG demonstration and testing only</w:t>
            </w:r>
          </w:p>
        </w:tc>
      </w:tr>
    </w:tbl>
    <w:p xmlns:wp14="http://schemas.microsoft.com/office/word/2010/wordml" w14:paraId="672A6659" wp14:textId="77777777"/>
    <w:p xmlns:wp14="http://schemas.microsoft.com/office/word/2010/wordml" w14:paraId="0A37501D" wp14:textId="77777777">
      <w:pPr>
        <w:spacing w:after="0"/>
      </w:pPr>
    </w:p>
    <w:p xmlns:wp14="http://schemas.microsoft.com/office/word/2010/wordml" w14:paraId="67DC5D1C" wp14:textId="77777777">
      <w:pPr>
        <w:pStyle w:val="Heading1"/>
      </w:pPr>
      <w:r>
        <w:t>1. Purpose and Scope</w:t>
      </w:r>
    </w:p>
    <w:p xmlns:wp14="http://schemas.microsoft.com/office/word/2010/wordml" w14:paraId="71FDF4D9" wp14:textId="77777777">
      <w:pPr>
        <w:spacing w:after="100" w:line="259" w:lineRule="auto"/>
      </w:pPr>
      <w:r>
        <w:rPr>
          <w:rFonts w:ascii="Aptos" w:hAnsi="Aptos"/>
          <w:b w:val="0"/>
          <w:color w:val="526B7A"/>
          <w:sz w:val="20"/>
        </w:rPr>
        <w:t>This synthetic policy describes criteria for total knee arthroplasty and revision total knee arthroplasty. It is designed to support RAG testing for medical necessity, conservative treatment, imaging evidence, contraindications, and documentation completeness.</w:t>
      </w:r>
    </w:p>
    <w:p xmlns:wp14="http://schemas.microsoft.com/office/word/2010/wordml" w14:paraId="6D78DE01" wp14:textId="77777777">
      <w:pPr>
        <w:pStyle w:val="Heading1"/>
      </w:pPr>
      <w:r>
        <w:t>2. Primary Total Knee Arthroplasty Criteria</w:t>
      </w:r>
    </w:p>
    <w:tbl>
      <w:tblPr>
        <w:tblStyle w:val="TableGrid"/>
        <w:tblW w:w="0" w:type="auto"/>
        <w:jc w:val="center"/>
        <w:tblLayout w:type="fixed"/>
        <w:tblLook w:val="04A0" w:firstRow="1" w:lastRow="0" w:firstColumn="1" w:lastColumn="0" w:noHBand="0" w:noVBand="1"/>
      </w:tblPr>
      <w:tblGrid>
        <w:gridCol w:w="5083"/>
        <w:gridCol w:w="5083"/>
      </w:tblGrid>
      <w:tr xmlns:wp14="http://schemas.microsoft.com/office/word/2010/wordml" w14:paraId="73DC9B34" wp14:textId="77777777">
        <w:tc>
          <w:tcPr>
            <w:tcW w:w="3312" w:type="dxa"/>
            <w:shd w:fill="123B5D"/>
            <w:tcMar>
              <w:top w:w="120" w:type="dxa"/>
              <w:start w:w="120" w:type="dxa"/>
              <w:bottom w:w="120" w:type="dxa"/>
              <w:end w:w="120" w:type="dxa"/>
            </w:tcMar>
            <w:vAlign w:val="center"/>
          </w:tcPr>
          <w:p w14:paraId="7FD57CA8" wp14:textId="77777777">
            <w:pPr>
              <w:jc w:val="center"/>
            </w:pPr>
            <w:r>
              <w:rPr>
                <w:rFonts w:ascii="Aptos" w:hAnsi="Aptos"/>
                <w:b/>
                <w:color w:val="FFFFFF"/>
                <w:sz w:val="17"/>
              </w:rPr>
              <w:t>Criterion</w:t>
            </w:r>
          </w:p>
        </w:tc>
        <w:tc>
          <w:tcPr>
            <w:tcW w:w="6048" w:type="dxa"/>
            <w:shd w:fill="123B5D"/>
            <w:tcMar>
              <w:top w:w="120" w:type="dxa"/>
              <w:start w:w="120" w:type="dxa"/>
              <w:bottom w:w="120" w:type="dxa"/>
              <w:end w:w="120" w:type="dxa"/>
            </w:tcMar>
            <w:vAlign w:val="center"/>
          </w:tcPr>
          <w:p w14:paraId="6E5ED1F2" wp14:textId="77777777">
            <w:pPr>
              <w:jc w:val="center"/>
            </w:pPr>
            <w:r>
              <w:rPr>
                <w:rFonts w:ascii="Aptos" w:hAnsi="Aptos"/>
                <w:b/>
                <w:color w:val="FFFFFF"/>
                <w:sz w:val="17"/>
              </w:rPr>
              <w:t>Documentation expectation</w:t>
            </w:r>
          </w:p>
        </w:tc>
      </w:tr>
      <w:tr xmlns:wp14="http://schemas.microsoft.com/office/word/2010/wordml" w14:paraId="4B4EA97B" wp14:textId="77777777">
        <w:tc>
          <w:tcPr>
            <w:tcW w:w="3312" w:type="dxa"/>
            <w:shd w:fill="F4F8F7"/>
            <w:tcMar>
              <w:top w:w="120" w:type="dxa"/>
              <w:start w:w="120" w:type="dxa"/>
              <w:bottom w:w="120" w:type="dxa"/>
              <w:end w:w="120" w:type="dxa"/>
            </w:tcMar>
            <w:vAlign w:val="center"/>
          </w:tcPr>
          <w:p w14:paraId="0A1D3748" wp14:textId="77777777">
            <w:r>
              <w:rPr>
                <w:rFonts w:ascii="Aptos" w:hAnsi="Aptos"/>
                <w:b w:val="0"/>
                <w:color w:val="526B7A"/>
                <w:sz w:val="17"/>
              </w:rPr>
              <w:t>Advanced joint disease</w:t>
            </w:r>
          </w:p>
        </w:tc>
        <w:tc>
          <w:tcPr>
            <w:tcW w:w="6048" w:type="dxa"/>
            <w:shd w:fill="F4F8F7"/>
            <w:tcMar>
              <w:top w:w="120" w:type="dxa"/>
              <w:start w:w="120" w:type="dxa"/>
              <w:bottom w:w="120" w:type="dxa"/>
              <w:end w:w="120" w:type="dxa"/>
            </w:tcMar>
            <w:vAlign w:val="center"/>
          </w:tcPr>
          <w:p w14:paraId="33668242" wp14:textId="77777777">
            <w:r>
              <w:rPr>
                <w:rFonts w:ascii="Aptos" w:hAnsi="Aptos"/>
                <w:b w:val="0"/>
                <w:color w:val="526B7A"/>
                <w:sz w:val="17"/>
              </w:rPr>
              <w:t>Radiographic evidence, or MRI/CT when conventional radiography is inadequate or cannot resolve the clinical question.</w:t>
            </w:r>
          </w:p>
        </w:tc>
      </w:tr>
      <w:tr xmlns:wp14="http://schemas.microsoft.com/office/word/2010/wordml" w14:paraId="308F6280" wp14:textId="77777777">
        <w:tc>
          <w:tcPr>
            <w:tcW w:w="3312" w:type="dxa"/>
            <w:shd w:fill="FFFFFF"/>
            <w:tcMar>
              <w:top w:w="120" w:type="dxa"/>
              <w:start w:w="120" w:type="dxa"/>
              <w:bottom w:w="120" w:type="dxa"/>
              <w:end w:w="120" w:type="dxa"/>
            </w:tcMar>
            <w:vAlign w:val="center"/>
          </w:tcPr>
          <w:p w14:paraId="4C1533C3" wp14:textId="77777777">
            <w:r>
              <w:rPr>
                <w:rFonts w:ascii="Aptos" w:hAnsi="Aptos"/>
                <w:b w:val="0"/>
                <w:color w:val="526B7A"/>
                <w:sz w:val="17"/>
              </w:rPr>
              <w:t>Pain or functional disability</w:t>
            </w:r>
          </w:p>
        </w:tc>
        <w:tc>
          <w:tcPr>
            <w:tcW w:w="6048" w:type="dxa"/>
            <w:shd w:fill="FFFFFF"/>
            <w:tcMar>
              <w:top w:w="120" w:type="dxa"/>
              <w:start w:w="120" w:type="dxa"/>
              <w:bottom w:w="120" w:type="dxa"/>
              <w:end w:w="120" w:type="dxa"/>
            </w:tcMar>
            <w:vAlign w:val="center"/>
          </w:tcPr>
          <w:p w14:paraId="57570896" wp14:textId="77777777">
            <w:r>
              <w:rPr>
                <w:rFonts w:ascii="Aptos" w:hAnsi="Aptos"/>
                <w:b w:val="0"/>
                <w:color w:val="526B7A"/>
                <w:sz w:val="17"/>
              </w:rPr>
              <w:t>Documented impact on walking, stairs, activities of daily living, or other meaningful function.</w:t>
            </w:r>
          </w:p>
        </w:tc>
      </w:tr>
      <w:tr xmlns:wp14="http://schemas.microsoft.com/office/word/2010/wordml" w14:paraId="4CB56264" wp14:textId="77777777">
        <w:tc>
          <w:tcPr>
            <w:tcW w:w="3312" w:type="dxa"/>
            <w:shd w:fill="F4F8F7"/>
            <w:tcMar>
              <w:top w:w="120" w:type="dxa"/>
              <w:start w:w="120" w:type="dxa"/>
              <w:bottom w:w="120" w:type="dxa"/>
              <w:end w:w="120" w:type="dxa"/>
            </w:tcMar>
            <w:vAlign w:val="center"/>
          </w:tcPr>
          <w:p w14:paraId="58A7CCB8" wp14:textId="77777777">
            <w:r>
              <w:rPr>
                <w:rFonts w:ascii="Aptos" w:hAnsi="Aptos"/>
                <w:b w:val="0"/>
                <w:color w:val="526B7A"/>
                <w:sz w:val="17"/>
              </w:rPr>
              <w:t>Conservative treatment</w:t>
            </w:r>
          </w:p>
        </w:tc>
        <w:tc>
          <w:tcPr>
            <w:tcW w:w="6048" w:type="dxa"/>
            <w:shd w:fill="F4F8F7"/>
            <w:tcMar>
              <w:top w:w="120" w:type="dxa"/>
              <w:start w:w="120" w:type="dxa"/>
              <w:bottom w:w="120" w:type="dxa"/>
              <w:end w:w="120" w:type="dxa"/>
            </w:tcMar>
            <w:vAlign w:val="center"/>
          </w:tcPr>
          <w:p w14:paraId="46DDFA3D" wp14:textId="77777777">
            <w:r>
              <w:rPr>
                <w:rFonts w:ascii="Aptos" w:hAnsi="Aptos"/>
                <w:b w:val="0"/>
                <w:color w:val="526B7A"/>
                <w:sz w:val="17"/>
              </w:rPr>
              <w:t>Unsuccessful appropriate nonsurgical management, or a documented clinical reason why nonsurgical management is not reasonable.</w:t>
            </w:r>
          </w:p>
        </w:tc>
      </w:tr>
      <w:tr xmlns:wp14="http://schemas.microsoft.com/office/word/2010/wordml" w14:paraId="3E1F5682" wp14:textId="77777777">
        <w:tc>
          <w:tcPr>
            <w:tcW w:w="3312" w:type="dxa"/>
            <w:shd w:fill="FFFFFF"/>
            <w:tcMar>
              <w:top w:w="120" w:type="dxa"/>
              <w:start w:w="120" w:type="dxa"/>
              <w:bottom w:w="120" w:type="dxa"/>
              <w:end w:w="120" w:type="dxa"/>
            </w:tcMar>
            <w:vAlign w:val="center"/>
          </w:tcPr>
          <w:p w14:paraId="778B620E" wp14:textId="77777777">
            <w:r>
              <w:rPr>
                <w:rFonts w:ascii="Aptos" w:hAnsi="Aptos"/>
                <w:b w:val="0"/>
                <w:color w:val="526B7A"/>
                <w:sz w:val="17"/>
              </w:rPr>
              <w:t>Clinical appropriateness</w:t>
            </w:r>
          </w:p>
        </w:tc>
        <w:tc>
          <w:tcPr>
            <w:tcW w:w="6048" w:type="dxa"/>
            <w:shd w:fill="FFFFFF"/>
            <w:tcMar>
              <w:top w:w="120" w:type="dxa"/>
              <w:start w:w="120" w:type="dxa"/>
              <w:bottom w:w="120" w:type="dxa"/>
              <w:end w:w="120" w:type="dxa"/>
            </w:tcMar>
            <w:vAlign w:val="center"/>
          </w:tcPr>
          <w:p w14:paraId="5E295629" wp14:textId="77777777">
            <w:r>
              <w:rPr>
                <w:rFonts w:ascii="Aptos" w:hAnsi="Aptos"/>
                <w:b w:val="0"/>
                <w:color w:val="526B7A"/>
                <w:sz w:val="17"/>
              </w:rPr>
              <w:t>Orthopedic evaluation supports surgery and addresses risks, expected benefit, and alternatives.</w:t>
            </w:r>
          </w:p>
        </w:tc>
      </w:tr>
    </w:tbl>
    <w:p xmlns:wp14="http://schemas.microsoft.com/office/word/2010/wordml" w14:paraId="5DAB6C7B" wp14:textId="77777777">
      <w:pPr>
        <w:spacing w:after="0"/>
      </w:pPr>
    </w:p>
    <w:p xmlns:wp14="http://schemas.microsoft.com/office/word/2010/wordml" w14:paraId="4767102B" wp14:textId="77777777">
      <w:pPr>
        <w:pStyle w:val="Heading1"/>
      </w:pPr>
      <w:r>
        <w:t>3. Examples of Conservative Management</w:t>
      </w:r>
    </w:p>
    <w:p xmlns:wp14="http://schemas.microsoft.com/office/word/2010/wordml" w14:paraId="63B97DE8" wp14:textId="77777777">
      <w:pPr>
        <w:pStyle w:val="ListBullet"/>
        <w:spacing w:after="60"/>
      </w:pPr>
      <w:r>
        <w:rPr>
          <w:rFonts w:ascii="Aptos" w:hAnsi="Aptos"/>
          <w:b w:val="0"/>
          <w:color w:val="526B7A"/>
          <w:sz w:val="19"/>
        </w:rPr>
        <w:t>Anti-inflammatory medication or analgesics</w:t>
      </w:r>
    </w:p>
    <w:p xmlns:wp14="http://schemas.microsoft.com/office/word/2010/wordml" w14:paraId="489FE6E3" wp14:textId="77777777">
      <w:pPr>
        <w:pStyle w:val="ListBullet"/>
        <w:spacing w:after="60"/>
      </w:pPr>
      <w:r>
        <w:rPr>
          <w:rFonts w:ascii="Aptos" w:hAnsi="Aptos"/>
          <w:b w:val="0"/>
          <w:color w:val="526B7A"/>
          <w:sz w:val="19"/>
        </w:rPr>
        <w:t>Flexibility and muscle-strengthening exercises</w:t>
      </w:r>
    </w:p>
    <w:p xmlns:wp14="http://schemas.microsoft.com/office/word/2010/wordml" w14:paraId="3088291E" wp14:textId="77777777">
      <w:pPr>
        <w:pStyle w:val="ListBullet"/>
        <w:spacing w:after="60"/>
      </w:pPr>
      <w:r>
        <w:rPr>
          <w:rFonts w:ascii="Aptos" w:hAnsi="Aptos"/>
          <w:b w:val="0"/>
          <w:color w:val="526B7A"/>
          <w:sz w:val="19"/>
        </w:rPr>
        <w:t>Supervised physical therapy</w:t>
      </w:r>
    </w:p>
    <w:p xmlns:wp14="http://schemas.microsoft.com/office/word/2010/wordml" w14:paraId="52296E89" wp14:textId="77777777">
      <w:pPr>
        <w:pStyle w:val="ListBullet"/>
        <w:spacing w:after="60"/>
      </w:pPr>
      <w:r>
        <w:rPr>
          <w:rFonts w:ascii="Aptos" w:hAnsi="Aptos"/>
          <w:b w:val="0"/>
          <w:color w:val="526B7A"/>
          <w:sz w:val="19"/>
        </w:rPr>
        <w:t>Assistive-device use</w:t>
      </w:r>
    </w:p>
    <w:p xmlns:wp14="http://schemas.microsoft.com/office/word/2010/wordml" w14:paraId="46E1AF2F" wp14:textId="77777777">
      <w:pPr>
        <w:pStyle w:val="ListBullet"/>
        <w:spacing w:after="60"/>
      </w:pPr>
      <w:r>
        <w:rPr>
          <w:rFonts w:ascii="Aptos" w:hAnsi="Aptos"/>
          <w:b w:val="0"/>
          <w:color w:val="526B7A"/>
          <w:sz w:val="19"/>
        </w:rPr>
        <w:t>Weight reduction when appropriate</w:t>
      </w:r>
    </w:p>
    <w:p xmlns:wp14="http://schemas.microsoft.com/office/word/2010/wordml" w14:paraId="69122524" wp14:textId="77777777">
      <w:pPr>
        <w:pStyle w:val="ListBullet"/>
        <w:spacing w:after="60"/>
      </w:pPr>
      <w:r>
        <w:rPr>
          <w:rFonts w:ascii="Aptos" w:hAnsi="Aptos"/>
          <w:b w:val="0"/>
          <w:color w:val="526B7A"/>
          <w:sz w:val="19"/>
        </w:rPr>
        <w:t>Therapeutic knee injections when appropriate</w:t>
      </w:r>
    </w:p>
    <w:p xmlns:wp14="http://schemas.microsoft.com/office/word/2010/wordml" w14:paraId="1AF0AED5" wp14:textId="77777777">
      <w:pPr>
        <w:pStyle w:val="Heading1"/>
      </w:pPr>
      <w:r>
        <w:t>4. Other Potential Indications</w:t>
      </w:r>
    </w:p>
    <w:p xmlns:wp14="http://schemas.microsoft.com/office/word/2010/wordml" w14:paraId="6F5F5D5C" wp14:textId="77777777">
      <w:pPr>
        <w:pStyle w:val="ListBullet"/>
        <w:spacing w:after="60"/>
      </w:pPr>
      <w:r>
        <w:rPr>
          <w:rFonts w:ascii="Aptos" w:hAnsi="Aptos"/>
          <w:b w:val="0"/>
          <w:color w:val="526B7A"/>
          <w:sz w:val="19"/>
        </w:rPr>
        <w:t>Avascular necrosis</w:t>
      </w:r>
    </w:p>
    <w:p xmlns:wp14="http://schemas.microsoft.com/office/word/2010/wordml" w14:paraId="37C38CDA" wp14:textId="77777777">
      <w:pPr>
        <w:pStyle w:val="ListBullet"/>
        <w:spacing w:after="60"/>
      </w:pPr>
      <w:r>
        <w:rPr>
          <w:rFonts w:ascii="Aptos" w:hAnsi="Aptos"/>
          <w:b w:val="0"/>
          <w:color w:val="526B7A"/>
          <w:sz w:val="19"/>
        </w:rPr>
        <w:t>Certain fractures involving the distal femur or proximal tibia</w:t>
      </w:r>
    </w:p>
    <w:p xmlns:wp14="http://schemas.microsoft.com/office/word/2010/wordml" w14:paraId="08F6A193" wp14:textId="77777777">
      <w:pPr>
        <w:pStyle w:val="ListBullet"/>
        <w:spacing w:after="60"/>
      </w:pPr>
      <w:r>
        <w:rPr>
          <w:rFonts w:ascii="Aptos" w:hAnsi="Aptos"/>
          <w:b w:val="0"/>
          <w:color w:val="526B7A"/>
          <w:sz w:val="19"/>
        </w:rPr>
        <w:t>Malignancy affecting the knee region</w:t>
      </w:r>
    </w:p>
    <w:p xmlns:wp14="http://schemas.microsoft.com/office/word/2010/wordml" w14:paraId="717ABAEC" wp14:textId="77777777">
      <w:pPr>
        <w:pStyle w:val="ListBullet"/>
        <w:spacing w:after="60"/>
      </w:pPr>
      <w:r>
        <w:rPr>
          <w:rFonts w:ascii="Aptos" w:hAnsi="Aptos"/>
          <w:b w:val="0"/>
          <w:color w:val="526B7A"/>
          <w:sz w:val="19"/>
        </w:rPr>
        <w:t>Failure of prior unicompartmental replacement</w:t>
      </w:r>
    </w:p>
    <w:p xmlns:wp14="http://schemas.microsoft.com/office/word/2010/wordml" w14:paraId="5CFBDF34" wp14:textId="77777777">
      <w:pPr>
        <w:pStyle w:val="ListBullet"/>
        <w:spacing w:after="60"/>
      </w:pPr>
      <w:r>
        <w:rPr>
          <w:rFonts w:ascii="Aptos" w:hAnsi="Aptos"/>
          <w:b w:val="0"/>
          <w:color w:val="526B7A"/>
          <w:sz w:val="19"/>
        </w:rPr>
        <w:t>Revision for loosening, mechanical failure, infection, fracture, bone loss, wear, stiffness, instability, or malalignment</w:t>
      </w:r>
    </w:p>
    <w:p xmlns:wp14="http://schemas.microsoft.com/office/word/2010/wordml" w14:paraId="7C9877FE" wp14:textId="77777777">
      <w:pPr>
        <w:pStyle w:val="Heading1"/>
      </w:pPr>
      <w:r>
        <w:t>5. Contraindications and Escalation</w:t>
      </w:r>
    </w:p>
    <w:p xmlns:wp14="http://schemas.microsoft.com/office/word/2010/wordml" w14:paraId="056A70C3" wp14:textId="77777777">
      <w:pPr>
        <w:pStyle w:val="ListBullet"/>
        <w:spacing w:after="60"/>
      </w:pPr>
      <w:r>
        <w:rPr>
          <w:rFonts w:ascii="Aptos" w:hAnsi="Aptos"/>
          <w:b w:val="0"/>
          <w:color w:val="526B7A"/>
          <w:sz w:val="19"/>
        </w:rPr>
        <w:t>Active knee-joint infection or systemic bacteremia</w:t>
      </w:r>
    </w:p>
    <w:p xmlns:wp14="http://schemas.microsoft.com/office/word/2010/wordml" w14:paraId="72A5D4CC" wp14:textId="77777777">
      <w:pPr>
        <w:pStyle w:val="ListBullet"/>
        <w:spacing w:after="60"/>
      </w:pPr>
      <w:r>
        <w:rPr>
          <w:rFonts w:ascii="Aptos" w:hAnsi="Aptos"/>
          <w:b w:val="0"/>
          <w:color w:val="526B7A"/>
          <w:sz w:val="19"/>
        </w:rPr>
        <w:t>Active infection near the surgical site</w:t>
      </w:r>
    </w:p>
    <w:p xmlns:wp14="http://schemas.microsoft.com/office/word/2010/wordml" w14:paraId="09213B5F" wp14:textId="77777777">
      <w:pPr>
        <w:pStyle w:val="ListBullet"/>
        <w:spacing w:after="60"/>
      </w:pPr>
      <w:r>
        <w:rPr>
          <w:rFonts w:ascii="Aptos" w:hAnsi="Aptos"/>
          <w:b w:val="0"/>
          <w:color w:val="526B7A"/>
          <w:sz w:val="19"/>
        </w:rPr>
        <w:t>Rapidly progressive neurologic disease</w:t>
      </w:r>
    </w:p>
    <w:p xmlns:wp14="http://schemas.microsoft.com/office/word/2010/wordml" w14:paraId="4A72FC83" wp14:textId="77777777">
      <w:pPr>
        <w:pStyle w:val="ListBullet"/>
        <w:spacing w:after="60"/>
      </w:pPr>
      <w:r>
        <w:rPr>
          <w:rFonts w:ascii="Aptos" w:hAnsi="Aptos"/>
          <w:b w:val="0"/>
          <w:color w:val="526B7A"/>
          <w:sz w:val="19"/>
        </w:rPr>
        <w:t>Relative contraindications that require explicit risk-benefit documentation</w:t>
      </w:r>
    </w:p>
    <w:p xmlns:wp14="http://schemas.microsoft.com/office/word/2010/wordml" w14:paraId="1B7739F2" wp14:textId="77777777">
      <w:pPr>
        <w:pStyle w:val="Heading1"/>
      </w:pPr>
      <w:r>
        <w:t>6. Manual Review Triggers</w:t>
      </w:r>
    </w:p>
    <w:p xmlns:wp14="http://schemas.microsoft.com/office/word/2010/wordml" w14:paraId="6F568724" wp14:textId="77777777">
      <w:pPr>
        <w:pStyle w:val="ListBullet"/>
        <w:spacing w:after="60"/>
      </w:pPr>
      <w:r>
        <w:rPr>
          <w:rFonts w:ascii="Aptos" w:hAnsi="Aptos"/>
          <w:b w:val="0"/>
          <w:color w:val="526B7A"/>
          <w:sz w:val="19"/>
        </w:rPr>
        <w:t>Mild symptoms without functional impairment</w:t>
      </w:r>
    </w:p>
    <w:p xmlns:wp14="http://schemas.microsoft.com/office/word/2010/wordml" w14:paraId="09178CA6" wp14:textId="77777777">
      <w:pPr>
        <w:pStyle w:val="ListBullet"/>
        <w:spacing w:after="60"/>
      </w:pPr>
      <w:r>
        <w:rPr>
          <w:rFonts w:ascii="Aptos" w:hAnsi="Aptos"/>
          <w:b w:val="0"/>
          <w:color w:val="526B7A"/>
          <w:sz w:val="19"/>
        </w:rPr>
        <w:t>No imaging evidence of advanced disease</w:t>
      </w:r>
    </w:p>
    <w:p xmlns:wp14="http://schemas.microsoft.com/office/word/2010/wordml" w14:paraId="6E77FAD1" wp14:textId="77777777">
      <w:pPr>
        <w:pStyle w:val="ListBullet"/>
        <w:spacing w:after="60"/>
      </w:pPr>
      <w:r>
        <w:rPr>
          <w:rFonts w:ascii="Aptos" w:hAnsi="Aptos"/>
          <w:b w:val="0"/>
          <w:color w:val="526B7A"/>
          <w:sz w:val="19"/>
        </w:rPr>
        <w:t>No conservative care and no explanation</w:t>
      </w:r>
    </w:p>
    <w:p xmlns:wp14="http://schemas.microsoft.com/office/word/2010/wordml" w14:paraId="2AEAE2CF" wp14:textId="77777777">
      <w:pPr>
        <w:pStyle w:val="ListBullet"/>
        <w:spacing w:after="60"/>
      </w:pPr>
      <w:r>
        <w:rPr>
          <w:rFonts w:ascii="Aptos" w:hAnsi="Aptos"/>
          <w:b w:val="0"/>
          <w:color w:val="526B7A"/>
          <w:sz w:val="19"/>
        </w:rPr>
        <w:t>Very young patient with insufficient clinical justification</w:t>
      </w:r>
    </w:p>
    <w:p xmlns:wp14="http://schemas.microsoft.com/office/word/2010/wordml" w14:paraId="78DE29ED" wp14:textId="77777777">
      <w:pPr>
        <w:pStyle w:val="ListBullet"/>
        <w:spacing w:after="60"/>
      </w:pPr>
      <w:r>
        <w:rPr>
          <w:rFonts w:ascii="Aptos" w:hAnsi="Aptos"/>
          <w:b w:val="0"/>
          <w:color w:val="526B7A"/>
          <w:sz w:val="19"/>
        </w:rPr>
        <w:t>Large cost outlier without complexity or implant rationale</w:t>
      </w:r>
    </w:p>
    <w:p xmlns:wp14="http://schemas.microsoft.com/office/word/2010/wordml" w14:paraId="5D18B696" wp14:textId="77777777">
      <w:pPr>
        <w:pStyle w:val="ListBullet"/>
        <w:spacing w:after="60"/>
      </w:pPr>
      <w:r>
        <w:rPr>
          <w:rFonts w:ascii="Aptos" w:hAnsi="Aptos"/>
          <w:b w:val="0"/>
          <w:color w:val="526B7A"/>
          <w:sz w:val="19"/>
        </w:rPr>
        <w:t>Requested procedure conflicts with diagnosis</w:t>
      </w:r>
    </w:p>
    <w:tbl>
      <w:tblPr>
        <w:tblW w:w="0" w:type="auto"/>
        <w:tblLook w:val="04A0" w:firstRow="1" w:lastRow="0" w:firstColumn="1" w:lastColumn="0" w:noHBand="0" w:noVBand="1"/>
      </w:tblPr>
      <w:tblGrid>
        <w:gridCol w:w="10166"/>
      </w:tblGrid>
      <w:tr xmlns:wp14="http://schemas.microsoft.com/office/word/2010/wordml" w14:paraId="02A2E94A" wp14:textId="77777777">
        <w:tc>
          <w:tcPr>
            <w:tcW w:w="10166" w:type="dxa"/>
            <w:shd w:fill="DFF3ED"/>
            <w:tcMar>
              <w:top w:w="180" w:type="dxa"/>
              <w:start w:w="180" w:type="dxa"/>
              <w:bottom w:w="180" w:type="dxa"/>
              <w:end w:w="180" w:type="dxa"/>
            </w:tcMar>
            <w:tcBorders>
              <w:left w:val="single" w:color="007F7B" w:sz="18"/>
            </w:tcBorders>
          </w:tcPr>
          <w:p w14:paraId="3D5DDBA4" wp14:textId="77777777">
            <w:r>
              <w:rPr>
                <w:rFonts w:ascii="Aptos" w:hAnsi="Aptos"/>
                <w:b/>
                <w:color w:val="123B5D"/>
                <w:sz w:val="21"/>
              </w:rPr>
              <w:t>RAG RETRIEVAL ANCHORS</w:t>
            </w:r>
          </w:p>
          <w:p w14:paraId="6B63AA71" wp14:textId="77777777">
            <w:pPr>
              <w:spacing w:after="0"/>
            </w:pPr>
            <w:r>
              <w:rPr>
                <w:rFonts w:ascii="Aptos" w:hAnsi="Aptos"/>
                <w:b w:val="0"/>
                <w:color w:val="526B7A"/>
                <w:sz w:val="18"/>
              </w:rPr>
              <w:t>Keywords: total knee arthroplasty, knee replacement, osteoarthritis, imaging, activities of daily living, physical therapy, injections, conservative management, contraindication.</w:t>
            </w:r>
          </w:p>
        </w:tc>
      </w:tr>
    </w:tbl>
    <w:p xmlns:wp14="http://schemas.microsoft.com/office/word/2010/wordml" w14:paraId="02EB378F" wp14:textId="77777777">
      <w:pPr>
        <w:spacing w:after="0"/>
      </w:pPr>
    </w:p>
    <w:p xmlns:wp14="http://schemas.microsoft.com/office/word/2010/wordml" w14:paraId="020773A0" wp14:textId="77777777">
      <w:pPr>
        <w:pStyle w:val="Heading2"/>
      </w:pPr>
      <w:r>
        <w:t>Source Framework Used for This Synthetic Policy</w:t>
      </w:r>
    </w:p>
    <w:p xmlns:wp14="http://schemas.microsoft.com/office/word/2010/wordml" w14:paraId="5837841F" wp14:textId="77777777">
      <w:pPr>
        <w:spacing w:after="100" w:line="259" w:lineRule="auto"/>
      </w:pPr>
      <w:r>
        <w:rPr>
          <w:rFonts w:ascii="Aptos" w:hAnsi="Aptos"/>
          <w:b w:val="0"/>
          <w:color w:val="526B7A"/>
          <w:sz w:val="20"/>
        </w:rPr>
        <w:t>The following public materials informed the structure and example criteria. This synthetic document summarizes concepts for a software demonstration and does not reproduce or replace the source documents.</w:t>
      </w:r>
    </w:p>
    <w:p xmlns:wp14="http://schemas.microsoft.com/office/word/2010/wordml" w14:paraId="485369A4" wp14:textId="77777777">
      <w:pPr>
        <w:pStyle w:val="ListBullet"/>
        <w:spacing w:after="60"/>
      </w:pPr>
      <w:r>
        <w:rPr>
          <w:rFonts w:ascii="Aptos" w:hAnsi="Aptos"/>
          <w:b w:val="0"/>
          <w:color w:val="526B7A"/>
          <w:sz w:val="19"/>
        </w:rPr>
        <w:t>CMS Local Coverage Determination L36575 - Total Knee Arthroplasty (indications, conservative therapy, documentation, contraindications).</w:t>
      </w:r>
    </w:p>
    <w:sectPr w:rsidRPr="0006063C" w:rsidR="00FC693F" w:rsidSect="00034616">
      <w:headerReference w:type="default" r:id="rId9"/>
      <w:footerReference w:type="default" r:id="rId10"/>
      <w:pgSz w:w="12240" w:h="15840" w:orient="portrait"/>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4BD79DB" wp14:textId="77777777">
    <w:pPr>
      <w:pStyle w:val="Footer"/>
      <w:jc w:val="center"/>
    </w:pPr>
    <w:r>
      <w:rPr>
        <w:rFonts w:ascii="Aptos" w:hAnsi="Aptos"/>
        <w:b w:val="0"/>
        <w:color w:val="526B7A"/>
        <w:sz w:val="16"/>
      </w:rPr>
      <w:t>Synthetic POC policy document - not a coverage commitment or clinical guideline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DC0197C" wp14:textId="77777777">
    <w:pPr>
      <w:pStyle w:val="Header"/>
      <w:jc w:val="right"/>
    </w:pPr>
    <w:r>
      <w:rPr>
        <w:rFonts w:ascii="Aptos" w:hAnsi="Aptos"/>
        <w:b/>
        <w:color w:val="007F7B"/>
        <w:sz w:val="16"/>
      </w:rPr>
      <w:t>NORTHSTAR HEALTH PLAN | POLICY INTELLIGENCE TEST CORPUS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B00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8F7A0AC-020B-4A82-9537-8305047AD7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color w:val="526B7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Aptos Display" w:hAnsi="Aptos Display" w:asciiTheme="majorHAnsi" w:hAnsiTheme="majorHAnsi" w:eastAsiaTheme="majorEastAsia" w:cstheme="majorBidi"/>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ptos Display" w:hAnsi="Aptos Display" w:asciiTheme="majorHAnsi" w:hAnsiTheme="majorHAnsi" w:eastAsiaTheme="majorEastAsia" w:cstheme="majorBidi"/>
      <w:b/>
      <w:bCs/>
      <w:color w:val="007F7B"/>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Aptos Display" w:hAnsi="Aptos Display" w:asciiTheme="majorHAnsi" w:hAnsiTheme="majorHAnsi" w:eastAsiaTheme="majorEastAsia" w:cstheme="majorBidi"/>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04 Total Knee Arthroplasty Policy</dc:title>
  <dc:subject/>
  <dc:creator>Jamalpur, Vinay Kumar</dc:creator>
  <keywords/>
  <dc:description>generated by python-docx</dc:description>
  <lastModifiedBy>Jamalpur, Vinay Kumar</lastModifiedBy>
  <revision>2</revision>
  <dcterms:created xsi:type="dcterms:W3CDTF">2026-09-23T05:52:15.1180148Z</dcterms:created>
  <dcterms:modified xsi:type="dcterms:W3CDTF">2026-09-23T05:57:42.5241028Z</dcterms:modified>
  <category/>
</coreProperties>
</file>