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4149415" wp14:textId="77777777">
      <w:pPr>
        <w:spacing w:before="440"/>
      </w:pPr>
      <w:r>
        <w:rPr>
          <w:rFonts w:ascii="Aptos" w:hAnsi="Aptos"/>
          <w:b/>
          <w:color w:val="007F7B"/>
          <w:sz w:val="20"/>
        </w:rPr>
        <w:t>MEDICAL COVERAGE POLICY</w:t>
      </w:r>
    </w:p>
    <w:p xmlns:wp14="http://schemas.microsoft.com/office/word/2010/wordml" w14:paraId="0AC5C807" wp14:textId="77777777">
      <w:pPr>
        <w:spacing w:after="240"/>
      </w:pPr>
      <w:r>
        <w:rPr>
          <w:rFonts w:ascii="Aptos Display" w:hAnsi="Aptos Display"/>
          <w:b/>
          <w:color w:val="102A43"/>
          <w:sz w:val="50"/>
        </w:rPr>
        <w:t>General Prior Authorization and Medical Necessity Framework</w:t>
      </w:r>
    </w:p>
    <w:tbl>
      <w:tblPr>
        <w:tblStyle w:val="TableGrid"/>
        <w:tblW w:w="0" w:type="auto"/>
        <w:jc w:val="left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xmlns:wp14="http://schemas.microsoft.com/office/word/2010/wordml" w14:paraId="43203EC0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22B0C43" wp14:textId="77777777">
            <w:r>
              <w:rPr>
                <w:rFonts w:ascii="Aptos" w:hAnsi="Aptos"/>
                <w:b/>
                <w:color w:val="123B5D"/>
                <w:sz w:val="18"/>
              </w:rPr>
              <w:t>Policy ID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2A1FC475" wp14:textId="77777777">
            <w:r>
              <w:rPr>
                <w:rFonts w:ascii="Aptos" w:hAnsi="Aptos"/>
                <w:b w:val="0"/>
                <w:color w:val="526B7A"/>
                <w:sz w:val="18"/>
              </w:rPr>
              <w:t>NSHP-ADM-005</w:t>
            </w:r>
          </w:p>
        </w:tc>
      </w:tr>
      <w:tr xmlns:wp14="http://schemas.microsoft.com/office/word/2010/wordml" w14:paraId="30DCD77D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E5A74F1" wp14:textId="77777777">
            <w:r>
              <w:rPr>
                <w:rFonts w:ascii="Aptos" w:hAnsi="Aptos"/>
                <w:b/>
                <w:color w:val="123B5D"/>
                <w:sz w:val="18"/>
              </w:rPr>
              <w:t>Category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2DA14C16" wp14:textId="77777777">
            <w:r>
              <w:rPr>
                <w:rFonts w:ascii="Aptos" w:hAnsi="Aptos"/>
                <w:b w:val="0"/>
                <w:color w:val="526B7A"/>
                <w:sz w:val="18"/>
              </w:rPr>
              <w:t>Administrative and Utilization Management</w:t>
            </w:r>
          </w:p>
        </w:tc>
      </w:tr>
      <w:tr xmlns:wp14="http://schemas.microsoft.com/office/word/2010/wordml" w14:paraId="45F021B8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B9FBFDD" wp14:textId="77777777">
            <w:r>
              <w:rPr>
                <w:rFonts w:ascii="Aptos" w:hAnsi="Aptos"/>
                <w:b/>
                <w:color w:val="123B5D"/>
                <w:sz w:val="18"/>
              </w:rPr>
              <w:t>Status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075B316A" wp14:textId="77777777">
            <w:r>
              <w:rPr>
                <w:rFonts w:ascii="Aptos" w:hAnsi="Aptos"/>
                <w:b w:val="0"/>
                <w:color w:val="526B7A"/>
                <w:sz w:val="18"/>
              </w:rPr>
              <w:t>POC SAMPLE - NOT AN OFFICIAL EFFECTIVE POLICY</w:t>
            </w:r>
          </w:p>
        </w:tc>
      </w:tr>
      <w:tr xmlns:wp14="http://schemas.microsoft.com/office/word/2010/wordml" w14:paraId="5802413F" wp14:textId="77777777">
        <w:tc>
          <w:tcPr>
            <w:tcW w:w="2448" w:type="dxa"/>
            <w:shd w:fill="E8F3F7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1334895F" wp14:textId="77777777">
            <w:r>
              <w:rPr>
                <w:rFonts w:ascii="Aptos" w:hAnsi="Aptos"/>
                <w:b/>
                <w:color w:val="123B5D"/>
                <w:sz w:val="18"/>
              </w:rPr>
              <w:t>Intended Use</w:t>
            </w:r>
          </w:p>
        </w:tc>
        <w:tc>
          <w:tcPr>
            <w:tcW w:w="6912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 w14:paraId="71245986" wp14:textId="77777777">
            <w:r>
              <w:rPr>
                <w:rFonts w:ascii="Aptos" w:hAnsi="Aptos"/>
                <w:b w:val="0"/>
                <w:color w:val="526B7A"/>
                <w:sz w:val="18"/>
              </w:rPr>
              <w:t>Synthetic RAG demonstration and testing only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0A37501D" wp14:textId="77777777">
      <w:pPr>
        <w:spacing w:after="0"/>
      </w:pPr>
    </w:p>
    <w:p xmlns:wp14="http://schemas.microsoft.com/office/word/2010/wordml" w14:paraId="2D4ACC3A" wp14:textId="77777777">
      <w:pPr>
        <w:pStyle w:val="Heading1"/>
      </w:pPr>
      <w:r>
        <w:t>1. Purpose</w:t>
      </w:r>
    </w:p>
    <w:p xmlns:wp14="http://schemas.microsoft.com/office/word/2010/wordml" w14:paraId="5CFE4C22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This synthetic administrative policy defines the common information and review principles used for prior authorization across medical services. Service-specific policies control when more specific criteria apply.</w:t>
      </w:r>
    </w:p>
    <w:p xmlns:wp14="http://schemas.microsoft.com/office/word/2010/wordml" w14:paraId="1DB7967A" wp14:textId="77777777">
      <w:pPr>
        <w:pStyle w:val="Heading1"/>
      </w:pPr>
      <w:r>
        <w:t>2. Prior Authorization Definition</w:t>
      </w:r>
    </w:p>
    <w:p xmlns:wp14="http://schemas.microsoft.com/office/word/2010/wordml" w14:paraId="6CECD1B8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Prior authorization is a review performed before a service is rendered. The provider submits the request and supporting medical documentation so that the plan can issue an approval, denial with a specific reason, request for additional information, or manual-review determination.</w:t>
      </w:r>
    </w:p>
    <w:p xmlns:wp14="http://schemas.microsoft.com/office/word/2010/wordml" w14:paraId="4D82DFF6" wp14:textId="77777777">
      <w:pPr>
        <w:pStyle w:val="Heading1"/>
      </w:pPr>
      <w:r>
        <w:t>3. Required Request Information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xmlns:wp14="http://schemas.microsoft.com/office/word/2010/wordml" w14:paraId="1AB4B0CB" wp14:textId="77777777">
        <w:tc>
          <w:tcPr>
            <w:tcW w:w="2376" w:type="dxa"/>
            <w:shd w:fill="123B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30697ED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Category</w:t>
            </w:r>
          </w:p>
        </w:tc>
        <w:tc>
          <w:tcPr>
            <w:tcW w:w="6984" w:type="dxa"/>
            <w:shd w:fill="123B5D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0FCF383C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Required data</w:t>
            </w:r>
          </w:p>
        </w:tc>
      </w:tr>
      <w:tr xmlns:wp14="http://schemas.microsoft.com/office/word/2010/wordml" w14:paraId="25549FA2" wp14:textId="77777777">
        <w:tc>
          <w:tcPr>
            <w:tcW w:w="2376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70EC72B" wp14:textId="77777777">
            <w:r>
              <w:rPr>
                <w:rFonts w:ascii="Aptos" w:hAnsi="Aptos"/>
                <w:b w:val="0"/>
                <w:color w:val="526B7A"/>
                <w:sz w:val="17"/>
              </w:rPr>
              <w:t>Member and plan</w:t>
            </w:r>
          </w:p>
        </w:tc>
        <w:tc>
          <w:tcPr>
            <w:tcW w:w="6984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19DC50B2" wp14:textId="77777777">
            <w:r>
              <w:rPr>
                <w:rFonts w:ascii="Aptos" w:hAnsi="Aptos"/>
                <w:b w:val="0"/>
                <w:color w:val="526B7A"/>
                <w:sz w:val="17"/>
              </w:rPr>
              <w:t>Member ID, policy number, plan, eligibility or effective-date information when available.</w:t>
            </w:r>
          </w:p>
        </w:tc>
      </w:tr>
      <w:tr xmlns:wp14="http://schemas.microsoft.com/office/word/2010/wordml" w14:paraId="4FB3955D" wp14:textId="77777777">
        <w:tc>
          <w:tcPr>
            <w:tcW w:w="2376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7EAADB3" wp14:textId="77777777">
            <w:r>
              <w:rPr>
                <w:rFonts w:ascii="Aptos" w:hAnsi="Aptos"/>
                <w:b w:val="0"/>
                <w:color w:val="526B7A"/>
                <w:sz w:val="17"/>
              </w:rPr>
              <w:t>Provider and facility</w:t>
            </w:r>
          </w:p>
        </w:tc>
        <w:tc>
          <w:tcPr>
            <w:tcW w:w="6984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0E0A432" wp14:textId="77777777">
            <w:r>
              <w:rPr>
                <w:rFonts w:ascii="Aptos" w:hAnsi="Aptos"/>
                <w:b w:val="0"/>
                <w:color w:val="526B7A"/>
                <w:sz w:val="17"/>
              </w:rPr>
              <w:t>Requesting provider, specialty, facility, site of service, and contact details when applicable.</w:t>
            </w:r>
          </w:p>
        </w:tc>
      </w:tr>
      <w:tr xmlns:wp14="http://schemas.microsoft.com/office/word/2010/wordml" w14:paraId="79B713C0" wp14:textId="77777777">
        <w:tc>
          <w:tcPr>
            <w:tcW w:w="2376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5BF320CB" wp14:textId="77777777">
            <w:r>
              <w:rPr>
                <w:rFonts w:ascii="Aptos" w:hAnsi="Aptos"/>
                <w:b w:val="0"/>
                <w:color w:val="526B7A"/>
                <w:sz w:val="17"/>
              </w:rPr>
              <w:t>Clinical information</w:t>
            </w:r>
          </w:p>
        </w:tc>
        <w:tc>
          <w:tcPr>
            <w:tcW w:w="6984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78E62932" wp14:textId="77777777">
            <w:r>
              <w:rPr>
                <w:rFonts w:ascii="Aptos" w:hAnsi="Aptos"/>
                <w:b w:val="0"/>
                <w:color w:val="526B7A"/>
                <w:sz w:val="17"/>
              </w:rPr>
              <w:t>Diagnosis, diagnosis code when available, symptoms, severity, treatment plan, and requested procedure.</w:t>
            </w:r>
          </w:p>
        </w:tc>
      </w:tr>
      <w:tr xmlns:wp14="http://schemas.microsoft.com/office/word/2010/wordml" w14:paraId="106EC84A" wp14:textId="77777777">
        <w:tc>
          <w:tcPr>
            <w:tcW w:w="2376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247256F7" wp14:textId="77777777">
            <w:r>
              <w:rPr>
                <w:rFonts w:ascii="Aptos" w:hAnsi="Aptos"/>
                <w:b w:val="0"/>
                <w:color w:val="526B7A"/>
                <w:sz w:val="17"/>
              </w:rPr>
              <w:t>Medical necessity</w:t>
            </w:r>
          </w:p>
        </w:tc>
        <w:tc>
          <w:tcPr>
            <w:tcW w:w="6984" w:type="dxa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73367C0" wp14:textId="77777777">
            <w:r>
              <w:rPr>
                <w:rFonts w:ascii="Aptos" w:hAnsi="Aptos"/>
                <w:b w:val="0"/>
                <w:color w:val="526B7A"/>
                <w:sz w:val="17"/>
              </w:rPr>
              <w:t>Clinical rationale, prior treatment, expected benefit, alternatives, and urgency.</w:t>
            </w:r>
          </w:p>
        </w:tc>
      </w:tr>
      <w:tr xmlns:wp14="http://schemas.microsoft.com/office/word/2010/wordml" w14:paraId="50F32320" wp14:textId="77777777">
        <w:tc>
          <w:tcPr>
            <w:tcW w:w="2376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4ED0CAB2" wp14:textId="77777777">
            <w:r>
              <w:rPr>
                <w:rFonts w:ascii="Aptos" w:hAnsi="Aptos"/>
                <w:b w:val="0"/>
                <w:color w:val="526B7A"/>
                <w:sz w:val="17"/>
              </w:rPr>
              <w:t>Supporting documents</w:t>
            </w:r>
          </w:p>
        </w:tc>
        <w:tc>
          <w:tcPr>
            <w:tcW w:w="6984" w:type="dxa"/>
            <w:shd w:fill="F4F8F7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 w14:paraId="3784D57F" wp14:textId="77777777">
            <w:r>
              <w:rPr>
                <w:rFonts w:ascii="Aptos" w:hAnsi="Aptos"/>
                <w:b w:val="0"/>
                <w:color w:val="526B7A"/>
                <w:sz w:val="17"/>
              </w:rPr>
              <w:t>Relevant imaging, laboratory results, consultation notes, diagnostic reports, and cost estimate when required.</w:t>
            </w:r>
          </w:p>
        </w:tc>
      </w:tr>
    </w:tbl>
    <w:p xmlns:wp14="http://schemas.microsoft.com/office/word/2010/wordml" w14:paraId="5DAB6C7B" wp14:textId="77777777">
      <w:pPr>
        <w:spacing w:after="0"/>
      </w:pPr>
    </w:p>
    <w:p xmlns:wp14="http://schemas.microsoft.com/office/word/2010/wordml" w14:paraId="79D5B9CE" wp14:textId="77777777">
      <w:pPr>
        <w:pStyle w:val="Heading1"/>
      </w:pPr>
      <w:r>
        <w:t>4. Possible Outcomes</w:t>
      </w:r>
    </w:p>
    <w:p xmlns:wp14="http://schemas.microsoft.com/office/word/2010/wordml" w14:paraId="617DAC75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APPROVED: applicable criteria are satisfied and required information is complete.</w:t>
      </w:r>
    </w:p>
    <w:p xmlns:wp14="http://schemas.microsoft.com/office/word/2010/wordml" w14:paraId="6F4064DF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MANUAL_REVIEW / MORE INFORMATION: evidence is incomplete, conflicting, or requires clinical judgment.</w:t>
      </w:r>
    </w:p>
    <w:p xmlns:wp14="http://schemas.microsoft.com/office/word/2010/wordml" w14:paraId="32817460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REJECTED / DENIED: applicable criteria are clearly not satisfied; the response should identify the specific reason and relevant policy basis.</w:t>
      </w:r>
    </w:p>
    <w:p xmlns:wp14="http://schemas.microsoft.com/office/word/2010/wordml" w14:paraId="44AFE470" wp14:textId="77777777">
      <w:pPr>
        <w:pStyle w:val="Heading1"/>
      </w:pPr>
      <w:r>
        <w:t>5. Review Principles</w:t>
      </w:r>
    </w:p>
    <w:p xmlns:wp14="http://schemas.microsoft.com/office/word/2010/wordml" w14:paraId="77D2E9AE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The member-specific benefit plan controls when it conflicts with a general coverage policy.</w:t>
      </w:r>
    </w:p>
    <w:p xmlns:wp14="http://schemas.microsoft.com/office/word/2010/wordml" w14:paraId="76A58363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Applicable laws and regulations must be considered.</w:t>
      </w:r>
    </w:p>
    <w:p xmlns:wp14="http://schemas.microsoft.com/office/word/2010/wordml" w14:paraId="6D3F0AD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Each request must be reviewed using the facts of the individual case.</w:t>
      </w:r>
    </w:p>
    <w:p xmlns:wp14="http://schemas.microsoft.com/office/word/2010/wordml" w14:paraId="0F666E1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Coverage and medical necessity are related but distinct; a clinically appropriate service may still be excluded by plan terms.</w:t>
      </w:r>
    </w:p>
    <w:p xmlns:wp14="http://schemas.microsoft.com/office/word/2010/wordml" w14:paraId="0FEF2A56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Cost alone should not establish medical necessity or justify denial.</w:t>
      </w:r>
    </w:p>
    <w:p xmlns:wp14="http://schemas.microsoft.com/office/word/2010/wordml" w14:paraId="39185FD7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Emergency care should not be delayed by a routine prior-authorization workflow.</w:t>
      </w:r>
    </w:p>
    <w:p xmlns:wp14="http://schemas.microsoft.com/office/word/2010/wordml" w14:paraId="1D12DE94" wp14:textId="77777777">
      <w:pPr>
        <w:pStyle w:val="Heading1"/>
      </w:pPr>
      <w:r>
        <w:t>6. Missing Information and Resubmission</w:t>
      </w:r>
    </w:p>
    <w:p xmlns:wp14="http://schemas.microsoft.com/office/word/2010/wordml" w14:paraId="1668E1F8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Identify exactly which documentation is missing.</w:t>
      </w:r>
    </w:p>
    <w:p xmlns:wp14="http://schemas.microsoft.com/office/word/2010/wordml" w14:paraId="2F41011F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Allow corrected or supplemented requests to be resubmitted and linked to the original request.</w:t>
      </w:r>
    </w:p>
    <w:p xmlns:wp14="http://schemas.microsoft.com/office/word/2010/wordml" w14:paraId="05BFC12C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Do not automatically label a supplemented prior-authorization request as a duplicate.</w:t>
      </w:r>
    </w:p>
    <w:p xmlns:wp14="http://schemas.microsoft.com/office/word/2010/wordml" w14:paraId="043F9D57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Escalate to clinical review when the policy evidence is insufficient or multiple reasonable interpretations exist.</w:t>
      </w:r>
    </w:p>
    <w:p xmlns:wp14="http://schemas.microsoft.com/office/word/2010/wordml" w14:paraId="4B8AC3C5" wp14:textId="77777777">
      <w:pPr>
        <w:pStyle w:val="Heading1"/>
      </w:pPr>
      <w:r>
        <w:t>7. RAG and AI Decision-Support Guardrails</w:t>
      </w:r>
    </w:p>
    <w:p xmlns:wp14="http://schemas.microsoft.com/office/word/2010/wordml" w14:paraId="53C5A3A9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Retrieved policy evidence must include source title, section, and page or location metadata.</w:t>
      </w:r>
    </w:p>
    <w:p xmlns:wp14="http://schemas.microsoft.com/office/word/2010/wordml" w14:paraId="565F70F0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The model must not invent coverage rules or citations.</w:t>
      </w:r>
    </w:p>
    <w:p xmlns:wp14="http://schemas.microsoft.com/office/word/2010/wordml" w14:paraId="041CDC85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If the retriever finds no reliable policy evidence, the recommendation must be MANUAL_REVIEW.</w:t>
      </w:r>
    </w:p>
    <w:p xmlns:wp14="http://schemas.microsoft.com/office/word/2010/wordml" w14:paraId="677D6F0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Deterministic validation remains separate from LLM reasoning.</w:t>
      </w:r>
    </w:p>
    <w:p xmlns:wp14="http://schemas.microsoft.com/office/word/2010/wordml" w14:paraId="565B7D2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The final output is decision support and does not replace authorized clinical or benefit-plan review.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xmlns:wp14="http://schemas.microsoft.com/office/word/2010/wordml" w14:paraId="1847DE3D" wp14:textId="77777777">
        <w:tc>
          <w:tcPr>
            <w:tcW w:w="10166" w:type="dxa"/>
            <w:shd w:fill="DFF3ED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left w:val="single" w:color="007F7B" w:sz="18"/>
            </w:tcBorders>
          </w:tcPr>
          <w:p w14:paraId="3D5DDBA4" wp14:textId="77777777">
            <w:r>
              <w:rPr>
                <w:rFonts w:ascii="Aptos" w:hAnsi="Aptos"/>
                <w:b/>
                <w:color w:val="123B5D"/>
                <w:sz w:val="21"/>
              </w:rPr>
              <w:t>RAG RETRIEVAL ANCHORS</w:t>
            </w:r>
          </w:p>
          <w:p w14:paraId="01A63D1E" wp14:textId="77777777">
            <w:pPr>
              <w:spacing w:after="0"/>
            </w:pPr>
            <w:r>
              <w:rPr>
                <w:rFonts w:ascii="Aptos" w:hAnsi="Aptos"/>
                <w:b w:val="0"/>
                <w:color w:val="526B7A"/>
                <w:sz w:val="18"/>
              </w:rPr>
              <w:t>Keywords: prior authorization, precertification, medical necessity, required documents, missing information, denial reason, benefit plan controls, resubmission, manual review.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020773A0" wp14:textId="77777777">
      <w:pPr>
        <w:pStyle w:val="Heading2"/>
      </w:pPr>
      <w:r>
        <w:t>Source Framework Used for This Synthetic Policy</w:t>
      </w:r>
    </w:p>
    <w:p xmlns:wp14="http://schemas.microsoft.com/office/word/2010/wordml" w14:paraId="5837841F" wp14:textId="77777777">
      <w:pPr>
        <w:spacing w:after="100" w:line="259" w:lineRule="auto"/>
      </w:pPr>
      <w:r>
        <w:rPr>
          <w:rFonts w:ascii="Aptos" w:hAnsi="Aptos"/>
          <w:b w:val="0"/>
          <w:color w:val="526B7A"/>
          <w:sz w:val="20"/>
        </w:rPr>
        <w:t>The following public materials informed the structure and example criteria. This synthetic document summarizes concepts for a software demonstration and does not reproduce or replace the source documents.</w:t>
      </w:r>
    </w:p>
    <w:p xmlns:wp14="http://schemas.microsoft.com/office/word/2010/wordml" w14:paraId="1473FE3F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CMS Prior Authorization and Pre-Claim Review Initiatives (timing and supporting medical documentation).</w:t>
      </w:r>
    </w:p>
    <w:p xmlns:wp14="http://schemas.microsoft.com/office/word/2010/wordml" w14:paraId="319290FD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42 CFR 422.122 (specific denial reason and prior-authorization API information requirements for Medicare Advantage).</w:t>
      </w:r>
    </w:p>
    <w:p xmlns:wp14="http://schemas.microsoft.com/office/word/2010/wordml" w14:paraId="6B4C19A4" wp14:textId="77777777">
      <w:pPr>
        <w:pStyle w:val="ListBullet"/>
        <w:spacing w:after="60"/>
      </w:pPr>
      <w:r>
        <w:rPr>
          <w:rFonts w:ascii="Aptos" w:hAnsi="Aptos"/>
          <w:b w:val="0"/>
          <w:color w:val="526B7A"/>
          <w:sz w:val="19"/>
        </w:rPr>
        <w:t>Cigna coverage-policy framework (member plan terms, laws, collateral sources, and case-specific facts).</w:t>
      </w:r>
    </w:p>
    <w:sectPr w:rsidRPr="0006063C" w:rsidR="00FC693F" w:rsidSect="00034616">
      <w:headerReference w:type="default" r:id="rId9"/>
      <w:footerReference w:type="default" r:id="rId10"/>
      <w:pgSz w:w="12240" w:h="15840" w:orient="portrait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BD79DB" wp14:textId="77777777">
    <w:pPr>
      <w:pStyle w:val="Footer"/>
      <w:jc w:val="center"/>
    </w:pPr>
    <w:r>
      <w:rPr>
        <w:rFonts w:ascii="Aptos" w:hAnsi="Aptos"/>
        <w:b w:val="0"/>
        <w:color w:val="526B7A"/>
        <w:sz w:val="16"/>
      </w:rPr>
      <w:t>Synthetic POC policy document - not a coverage commitment or clinical guideline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DC0197C" wp14:textId="77777777">
    <w:pPr>
      <w:pStyle w:val="Header"/>
      <w:jc w:val="right"/>
    </w:pPr>
    <w:r>
      <w:rPr>
        <w:rFonts w:ascii="Aptos" w:hAnsi="Aptos"/>
        <w:b/>
        <w:color w:val="007F7B"/>
        <w:sz w:val="16"/>
      </w:rPr>
      <w:t>NORTHSTAR HEALTH PLAN | POLICY INTELLIGENCE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4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4672A53-94DC-4E86-97E2-C19CFEB33A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color w:val="526B7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23B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007F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23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Relationship Type="http://schemas.openxmlformats.org/officeDocument/2006/relationships/footer" Target="footer1.xml" Id="rId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05 General Prior Authorization Medical Necessity Policy</dc:title>
  <dc:subject/>
  <dc:creator>Jamalpur, Vinay Kumar</dc:creator>
  <keywords/>
  <dc:description>generated by python-docx</dc:description>
  <lastModifiedBy>Jamalpur, Vinay Kumar</lastModifiedBy>
  <revision>2</revision>
  <dcterms:created xsi:type="dcterms:W3CDTF">2026-09-23T05:52:16.5595190Z</dcterms:created>
  <dcterms:modified xsi:type="dcterms:W3CDTF">2026-09-23T05:58:18.4619061Z</dcterms:modified>
  <category/>
</coreProperties>
</file>