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48"/>
          <w:szCs w:val="48"/>
        </w:rPr>
        <w:t xml:space="preserve">Healthcare &amp; Hospital Management System</w:t>
      </w:r>
    </w:p>
    <w:p>
      <w:pPr>
        <w:spacing w:after="400"/>
        <w:jc w:val="center"/>
      </w:pPr>
      <w:r>
        <w:rPr>
          <w:b/>
          <w:bCs/>
          <w:color w:val="444444"/>
          <w:sz w:val="32"/>
          <w:szCs w:val="32"/>
        </w:rPr>
        <w:t xml:space="preserve">Medallion Architecture — Implementation Report</w:t>
      </w:r>
    </w:p>
    <w:p>
      <w:pPr>
        <w:spacing w:after="800"/>
        <w:jc w:val="center"/>
      </w:pPr>
      <w:r>
        <w:rPr>
          <w:i/>
          <w:iCs/>
          <w:color w:val="666666"/>
          <w:sz w:val="22"/>
          <w:szCs w:val="22"/>
        </w:rPr>
        <w:t xml:space="preserve">Azure Databricks · PySpark · Delta Lake · Azure Data Lake Storage Gen2</w:t>
      </w:r>
    </w:p>
    <w:p>
      <w:pPr>
        <w:jc w:val="center"/>
      </w:pPr>
      <w:r>
        <w:rPr>
          <w:sz w:val="22"/>
          <w:szCs w:val="22"/>
        </w:rPr>
        <w:t xml:space="preserve">Prepared by: Ramta</w:t>
      </w:r>
    </w:p>
    <w:p>
      <w:pPr>
        <w:jc w:val="center"/>
      </w:pPr>
      <w:r>
        <w:rPr>
          <w:sz w:val="22"/>
          <w:szCs w:val="22"/>
        </w:rPr>
        <w:t xml:space="preserve">Celebal Technologies — Data Engineering Internship</w:t>
      </w:r>
    </w:p>
    <w:p>
      <w:pPr>
        <w:spacing w:after="200"/>
        <w:jc w:val="center"/>
      </w:pPr>
      <w:r>
        <w:rPr>
          <w:color w:val="888888"/>
          <w:sz w:val="20"/>
          <w:szCs w:val="20"/>
        </w:rPr>
        <w:t xml:space="preserve">Reference: Healthcare_Medallion_Architecture_PDD_v2</w:t>
      </w:r>
    </w:p>
    <w:p>
      <w:r>
        <w:br w:type="page"/>
      </w:r>
    </w:p>
    <w:p>
      <w:pPr>
        <w:pStyle w:val="Heading1"/>
        <w:spacing w:after="200" w:before="400"/>
      </w:pPr>
      <w:r>
        <w:t xml:space="preserve">1. Executive Summary</w:t>
      </w:r>
    </w:p>
    <w:p>
      <w:pPr>
        <w:spacing w:after="150"/>
      </w:pPr>
      <w:r>
        <w:t xml:space="preserve">This report documents the end-to-end implementation of the Healthcare &amp; Hospital Management System Medallion Architecture pipeline, built on Azure Databricks with Azure Data Lake Storage Gen2 (ADLS Gen2) as the target platform, using PySpark, Delta Lake, and Databricks SQL, following the Project Design Document (PDD v2).</w:t>
      </w:r>
    </w:p>
    <w:p>
      <w:pPr>
        <w:spacing w:after="150"/>
      </w:pPr>
      <w:r>
        <w:t xml:space="preserve">The pipeline ingests five hospital CSV data sources through a Bronze (raw) → Silver (cleansed &amp; enriched) → Gold (business KPIs) layered architecture, using a metadata-driven ingestion framework, SHA-256 PII masking, and a centralized audit log for full pipeline traceability.</w:t>
      </w:r>
    </w:p>
    <w:p>
      <w:pPr>
        <w:spacing w:after="150"/>
      </w:pPr>
      <w:r>
        <w:t xml:space="preserve">The implementation closely follows the PDD's design intent. Two categories of deviation from the original document were required and are documented transparently in this report: (1) the actual source file names and schemas differed from those specified in the PDD, and (2) four of the eight KPIs defined in the PDD could not be computed because their required source data was never defined in the PDD's data schema and was not present in the actual source files.</w:t>
      </w:r>
    </w:p>
    <w:p>
      <w:pPr>
        <w:pStyle w:val="Heading1"/>
        <w:spacing w:after="200" w:before="400"/>
      </w:pPr>
      <w:r>
        <w:t xml:space="preserve">2. Architecture Implemented</w:t>
      </w:r>
    </w:p>
    <w:p>
      <w:pPr>
        <w:spacing w:after="150"/>
      </w:pPr>
      <w:r>
        <w:t xml:space="preserve">The solution follows the standard Medallion Architecture pattern:</w:t>
      </w:r>
    </w:p>
    <w:p>
      <w:pPr>
        <w:pStyle w:val="ListParagraph"/>
        <w:numPr>
          <w:ilvl w:val="0"/>
          <w:numId w:val="1"/>
        </w:numPr>
        <w:spacing w:after="80"/>
      </w:pPr>
      <w:r>
        <w:t xml:space="preserve">Bronze Layer — raw CSV data ingested as-is from ADLS Gen2 landing zone into Delta tables, with audit/lineage metadata columns appended (_ingestion_timestamp, _source_file_name, _batch_id, _ingestion_date).</w:t>
      </w:r>
    </w:p>
    <w:p>
      <w:pPr>
        <w:pStyle w:val="ListParagraph"/>
        <w:numPr>
          <w:ilvl w:val="0"/>
          <w:numId w:val="1"/>
        </w:numPr>
        <w:spacing w:after="80"/>
      </w:pPr>
      <w:r>
        <w:t xml:space="preserve">Silver Layer — cleansed, deduplicated, validated data with cross-source joins (e.g. appointments joined to patients and doctors) and SHA-256 masking applied to PII fields.</w:t>
      </w:r>
    </w:p>
    <w:p>
      <w:pPr>
        <w:pStyle w:val="ListParagraph"/>
        <w:numPr>
          <w:ilvl w:val="0"/>
          <w:numId w:val="1"/>
        </w:numPr>
        <w:spacing w:after="80"/>
      </w:pPr>
      <w:r>
        <w:t xml:space="preserve">Gold Layer — aggregated, business-ready KPI tables built from Silver tables, serving as the analytics/reporting layer.</w:t>
      </w:r>
    </w:p>
    <w:p>
      <w:pPr>
        <w:spacing w:after="150"/>
      </w:pPr>
      <w:r>
        <w:t xml:space="preserve">All data is stored in Delta Lake format, providing ACID transaction guarantees. Storage authentication uses an Azure Storage Account access key, retrieved securely at runtime from a Databricks-backed secret scope (kv-scope) rather than being hardcoded in any notebook.</w:t>
      </w:r>
    </w:p>
    <w:p>
      <w:pPr>
        <w:pStyle w:val="Heading1"/>
        <w:spacing w:after="200" w:before="400"/>
      </w:pPr>
      <w:r>
        <w:t xml:space="preserve">3. Azure Infrastructure Provisioned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3500"/>
            <w:shd w:fill="1F3864" w:val="clear"/>
            <w:vAlign w:val="center"/>
          </w:tcPr>
          <w:p>
            <w:r>
              <w:rPr>
                <w:b/>
                <w:bCs/>
                <w:color w:val="FFFFFF"/>
                <w:sz w:val="20"/>
                <w:szCs w:val="20"/>
              </w:rPr>
              <w:t xml:space="preserve">Component</w:t>
            </w:r>
          </w:p>
        </w:tc>
        <w:tc>
          <w:tcPr>
            <w:tcW w:type="dxa" w:w="6500"/>
            <w:shd w:fill="1F3864" w:val="clear"/>
            <w:vAlign w:val="center"/>
          </w:tcPr>
          <w:p>
            <w:r>
              <w:rPr>
                <w:b/>
                <w:bCs/>
                <w:color w:val="FFFFFF"/>
                <w:sz w:val="20"/>
                <w:szCs w:val="20"/>
              </w:rPr>
              <w:t xml:space="preserve">Details</w:t>
            </w:r>
          </w:p>
        </w:tc>
      </w:tr>
      <w:tr>
        <w:tc>
          <w:tcPr>
            <w:tcW w:type="dxa" w:w="3500"/>
            <w:shd w:fill="F7F9FC" w:val="clear"/>
            <w:vAlign w:val="center"/>
          </w:tcPr>
          <w:p>
            <w:r>
              <w:rPr>
                <w:b w:val="false"/>
                <w:bCs w:val="false"/>
                <w:color w:val="000000"/>
                <w:sz w:val="20"/>
                <w:szCs w:val="20"/>
              </w:rPr>
              <w:t xml:space="preserve">Azure Subscription</w:t>
            </w:r>
          </w:p>
        </w:tc>
        <w:tc>
          <w:tcPr>
            <w:tcW w:type="dxa" w:w="6500"/>
            <w:shd w:fill="F7F9FC" w:val="clear"/>
            <w:vAlign w:val="center"/>
          </w:tcPr>
          <w:p>
            <w:r>
              <w:rPr>
                <w:b w:val="false"/>
                <w:bCs w:val="false"/>
                <w:color w:val="000000"/>
                <w:sz w:val="20"/>
                <w:szCs w:val="20"/>
              </w:rPr>
              <w:t xml:space="preserve">Azure for Students</w:t>
            </w:r>
          </w:p>
        </w:tc>
      </w:tr>
      <w:tr>
        <w:tc>
          <w:tcPr>
            <w:tcW w:type="dxa" w:w="3500"/>
            <w:shd w:fill="F7F9FC" w:val="clear"/>
            <w:vAlign w:val="center"/>
          </w:tcPr>
          <w:p>
            <w:r>
              <w:rPr>
                <w:b w:val="false"/>
                <w:bCs w:val="false"/>
                <w:color w:val="000000"/>
                <w:sz w:val="20"/>
                <w:szCs w:val="20"/>
              </w:rPr>
              <w:t xml:space="preserve">Region</w:t>
            </w:r>
          </w:p>
        </w:tc>
        <w:tc>
          <w:tcPr>
            <w:tcW w:type="dxa" w:w="6500"/>
            <w:shd w:fill="F7F9FC" w:val="clear"/>
            <w:vAlign w:val="center"/>
          </w:tcPr>
          <w:p>
            <w:r>
              <w:rPr>
                <w:b w:val="false"/>
                <w:bCs w:val="false"/>
                <w:color w:val="000000"/>
                <w:sz w:val="20"/>
                <w:szCs w:val="20"/>
              </w:rPr>
              <w:t xml:space="preserve">East US (selected due to student subscription region restrictions)</w:t>
            </w:r>
          </w:p>
        </w:tc>
      </w:tr>
      <w:tr>
        <w:tc>
          <w:tcPr>
            <w:tcW w:type="dxa" w:w="3500"/>
            <w:shd w:fill="F7F9FC" w:val="clear"/>
            <w:vAlign w:val="center"/>
          </w:tcPr>
          <w:p>
            <w:r>
              <w:rPr>
                <w:b w:val="false"/>
                <w:bCs w:val="false"/>
                <w:color w:val="000000"/>
                <w:sz w:val="20"/>
                <w:szCs w:val="20"/>
              </w:rPr>
              <w:t xml:space="preserve">Resource Group</w:t>
            </w:r>
          </w:p>
        </w:tc>
        <w:tc>
          <w:tcPr>
            <w:tcW w:type="dxa" w:w="6500"/>
            <w:shd w:fill="F7F9FC" w:val="clear"/>
            <w:vAlign w:val="center"/>
          </w:tcPr>
          <w:p>
            <w:r>
              <w:rPr>
                <w:b w:val="false"/>
                <w:bCs w:val="false"/>
                <w:color w:val="000000"/>
                <w:sz w:val="20"/>
                <w:szCs w:val="20"/>
              </w:rPr>
              <w:t xml:space="preserve">healthcare-medallion-rg</w:t>
            </w:r>
          </w:p>
        </w:tc>
      </w:tr>
      <w:tr>
        <w:tc>
          <w:tcPr>
            <w:tcW w:type="dxa" w:w="3500"/>
            <w:shd w:fill="F7F9FC" w:val="clear"/>
            <w:vAlign w:val="center"/>
          </w:tcPr>
          <w:p>
            <w:r>
              <w:rPr>
                <w:b w:val="false"/>
                <w:bCs w:val="false"/>
                <w:color w:val="000000"/>
                <w:sz w:val="20"/>
                <w:szCs w:val="20"/>
              </w:rPr>
              <w:t xml:space="preserve">Storage Account (ADLS Gen2)</w:t>
            </w:r>
          </w:p>
        </w:tc>
        <w:tc>
          <w:tcPr>
            <w:tcW w:type="dxa" w:w="6500"/>
            <w:shd w:fill="F7F9FC" w:val="clear"/>
            <w:vAlign w:val="center"/>
          </w:tcPr>
          <w:p>
            <w:r>
              <w:rPr>
                <w:b w:val="false"/>
                <w:bCs w:val="false"/>
                <w:color w:val="000000"/>
                <w:sz w:val="20"/>
                <w:szCs w:val="20"/>
              </w:rPr>
              <w:t xml:space="preserve">celebaldedata123 — hierarchical namespace enabled</w:t>
            </w:r>
          </w:p>
        </w:tc>
      </w:tr>
      <w:tr>
        <w:tc>
          <w:tcPr>
            <w:tcW w:type="dxa" w:w="3500"/>
            <w:shd w:fill="F7F9FC" w:val="clear"/>
            <w:vAlign w:val="center"/>
          </w:tcPr>
          <w:p>
            <w:r>
              <w:rPr>
                <w:b w:val="false"/>
                <w:bCs w:val="false"/>
                <w:color w:val="000000"/>
                <w:sz w:val="20"/>
                <w:szCs w:val="20"/>
              </w:rPr>
              <w:t xml:space="preserve">Containers</w:t>
            </w:r>
          </w:p>
        </w:tc>
        <w:tc>
          <w:tcPr>
            <w:tcW w:type="dxa" w:w="6500"/>
            <w:shd w:fill="F7F9FC" w:val="clear"/>
            <w:vAlign w:val="center"/>
          </w:tcPr>
          <w:p>
            <w:r>
              <w:rPr>
                <w:b w:val="false"/>
                <w:bCs w:val="false"/>
                <w:color w:val="000000"/>
                <w:sz w:val="20"/>
                <w:szCs w:val="20"/>
              </w:rPr>
              <w:t xml:space="preserve">landing, bronze, silver, gold</w:t>
            </w:r>
          </w:p>
        </w:tc>
      </w:tr>
      <w:tr>
        <w:tc>
          <w:tcPr>
            <w:tcW w:type="dxa" w:w="3500"/>
            <w:shd w:fill="F7F9FC" w:val="clear"/>
            <w:vAlign w:val="center"/>
          </w:tcPr>
          <w:p>
            <w:r>
              <w:rPr>
                <w:b w:val="false"/>
                <w:bCs w:val="false"/>
                <w:color w:val="000000"/>
                <w:sz w:val="20"/>
                <w:szCs w:val="20"/>
              </w:rPr>
              <w:t xml:space="preserve">Databricks Workspace</w:t>
            </w:r>
          </w:p>
        </w:tc>
        <w:tc>
          <w:tcPr>
            <w:tcW w:type="dxa" w:w="6500"/>
            <w:shd w:fill="F7F9FC" w:val="clear"/>
            <w:vAlign w:val="center"/>
          </w:tcPr>
          <w:p>
            <w:r>
              <w:rPr>
                <w:b w:val="false"/>
                <w:bCs w:val="false"/>
                <w:color w:val="000000"/>
                <w:sz w:val="20"/>
                <w:szCs w:val="20"/>
              </w:rPr>
              <w:t xml:space="preserve">celebal-databricks (Premium / Trial tier — 14-day free DBUs)</w:t>
            </w:r>
          </w:p>
        </w:tc>
      </w:tr>
      <w:tr>
        <w:tc>
          <w:tcPr>
            <w:tcW w:type="dxa" w:w="3500"/>
            <w:shd w:fill="F7F9FC" w:val="clear"/>
            <w:vAlign w:val="center"/>
          </w:tcPr>
          <w:p>
            <w:r>
              <w:rPr>
                <w:b w:val="false"/>
                <w:bCs w:val="false"/>
                <w:color w:val="000000"/>
                <w:sz w:val="20"/>
                <w:szCs w:val="20"/>
              </w:rPr>
              <w:t xml:space="preserve">Compute Cluster</w:t>
            </w:r>
          </w:p>
        </w:tc>
        <w:tc>
          <w:tcPr>
            <w:tcW w:type="dxa" w:w="6500"/>
            <w:shd w:fill="F7F9FC" w:val="clear"/>
            <w:vAlign w:val="center"/>
          </w:tcPr>
          <w:p>
            <w:r>
              <w:rPr>
                <w:b w:val="false"/>
                <w:bCs w:val="false"/>
                <w:color w:val="000000"/>
                <w:sz w:val="20"/>
                <w:szCs w:val="20"/>
              </w:rPr>
              <w:t xml:space="preserve">de-cluster — Single Node, DBR 17.3 (Spark 4.0.0, Scala 2.13), Standard_D4ds_v4</w:t>
            </w:r>
          </w:p>
        </w:tc>
      </w:tr>
      <w:tr>
        <w:tc>
          <w:tcPr>
            <w:tcW w:type="dxa" w:w="3500"/>
            <w:shd w:fill="F7F9FC" w:val="clear"/>
            <w:vAlign w:val="center"/>
          </w:tcPr>
          <w:p>
            <w:r>
              <w:rPr>
                <w:b w:val="false"/>
                <w:bCs w:val="false"/>
                <w:color w:val="000000"/>
                <w:sz w:val="20"/>
                <w:szCs w:val="20"/>
              </w:rPr>
              <w:t xml:space="preserve">Secret Management</w:t>
            </w:r>
          </w:p>
        </w:tc>
        <w:tc>
          <w:tcPr>
            <w:tcW w:type="dxa" w:w="6500"/>
            <w:shd w:fill="F7F9FC" w:val="clear"/>
            <w:vAlign w:val="center"/>
          </w:tcPr>
          <w:p>
            <w:r>
              <w:rPr>
                <w:b w:val="false"/>
                <w:bCs w:val="false"/>
                <w:color w:val="000000"/>
                <w:sz w:val="20"/>
                <w:szCs w:val="20"/>
              </w:rPr>
              <w:t xml:space="preserve">Databricks Secret Scope (kv-scope) storing the storage account access key</w:t>
            </w:r>
          </w:p>
        </w:tc>
      </w:tr>
    </w:tbl>
    <w:p>
      <w:pPr>
        <w:spacing w:after="60" w:before="20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14625"/>
                    </a:xfrm>
                    <a:prstGeom prst="rect">
                      <a:avLst/>
                    </a:prstGeom>
                  </pic:spPr>
                </pic:pic>
              </a:graphicData>
            </a:graphic>
          </wp:inline>
        </w:drawing>
      </w:r>
    </w:p>
    <w:p>
      <w:pPr>
        <w:spacing w:after="260"/>
        <w:jc w:val="center"/>
      </w:pPr>
      <w:r>
        <w:rPr>
          <w:i/>
          <w:iCs/>
          <w:color w:val="666666"/>
          <w:sz w:val="18"/>
          <w:szCs w:val="18"/>
        </w:rPr>
        <w:t xml:space="preserve">Figure 1: Resource group showing the Databricks workspace and Storage Account provisioned together.</w:t>
      </w:r>
    </w:p>
    <w:p>
      <w:pPr>
        <w:spacing w:after="60" w:before="20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95575"/>
                    </a:xfrm>
                    <a:prstGeom prst="rect">
                      <a:avLst/>
                    </a:prstGeom>
                  </pic:spPr>
                </pic:pic>
              </a:graphicData>
            </a:graphic>
          </wp:inline>
        </w:drawing>
      </w:r>
    </w:p>
    <w:p>
      <w:pPr>
        <w:spacing w:after="260"/>
        <w:jc w:val="center"/>
      </w:pPr>
      <w:r>
        <w:rPr>
          <w:i/>
          <w:iCs/>
          <w:color w:val="666666"/>
          <w:sz w:val="18"/>
          <w:szCs w:val="18"/>
        </w:rPr>
        <w:t xml:space="preserve">Figure 2: ADLS Gen2 storage account with the four Medallion containers — landing, bronze, silver, gold.</w:t>
      </w:r>
    </w:p>
    <w:p>
      <w:pPr>
        <w:spacing w:after="60" w:before="20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14625"/>
                    </a:xfrm>
                    <a:prstGeom prst="rect">
                      <a:avLst/>
                    </a:prstGeom>
                  </pic:spPr>
                </pic:pic>
              </a:graphicData>
            </a:graphic>
          </wp:inline>
        </w:drawing>
      </w:r>
    </w:p>
    <w:p>
      <w:pPr>
        <w:spacing w:after="260"/>
        <w:jc w:val="center"/>
      </w:pPr>
      <w:r>
        <w:rPr>
          <w:i/>
          <w:iCs/>
          <w:color w:val="666666"/>
          <w:sz w:val="18"/>
          <w:szCs w:val="18"/>
        </w:rPr>
        <w:t xml:space="preserve">Figure 3: Databricks single-node cluster (de-cluster) in a Running state, DBR 17.3.</w:t>
      </w:r>
    </w:p>
    <w:p>
      <w:pPr>
        <w:pStyle w:val="Heading1"/>
        <w:spacing w:after="200" w:before="400"/>
      </w:pPr>
      <w:r>
        <w:t xml:space="preserve">4. Data Source Mapping — PDD vs. Actual</w:t>
      </w:r>
    </w:p>
    <w:p>
      <w:pPr>
        <w:spacing w:after="150"/>
      </w:pPr>
      <w:r>
        <w:t xml:space="preserve">The PDD specified five source files with generic healthcare naming. The actual files provided differed in name and, in two cases, in subject matter. The table below documents the mapping used throughout the implementation.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rPr>
          <w:tblHeader/>
        </w:trPr>
        <w:tc>
          <w:tcPr>
            <w:tcW w:type="dxa" w:w="3200"/>
            <w:shd w:fill="1F3864" w:val="clear"/>
            <w:vAlign w:val="center"/>
          </w:tcPr>
          <w:p>
            <w:r>
              <w:rPr>
                <w:b/>
                <w:bCs/>
                <w:color w:val="FFFFFF"/>
                <w:sz w:val="20"/>
                <w:szCs w:val="20"/>
              </w:rPr>
              <w:t xml:space="preserve">PDD Specified File</w:t>
            </w:r>
          </w:p>
        </w:tc>
        <w:tc>
          <w:tcPr>
            <w:tcW w:type="dxa" w:w="3200"/>
            <w:shd w:fill="1F3864" w:val="clear"/>
            <w:vAlign w:val="center"/>
          </w:tcPr>
          <w:p>
            <w:r>
              <w:rPr>
                <w:b/>
                <w:bCs/>
                <w:color w:val="FFFFFF"/>
                <w:sz w:val="20"/>
                <w:szCs w:val="20"/>
              </w:rPr>
              <w:t xml:space="preserve">Actual File Used</w:t>
            </w:r>
          </w:p>
        </w:tc>
        <w:tc>
          <w:tcPr>
            <w:tcW w:type="dxa" w:w="3600"/>
            <w:shd w:fill="1F3864" w:val="clear"/>
            <w:vAlign w:val="center"/>
          </w:tcPr>
          <w:p>
            <w:r>
              <w:rPr>
                <w:b/>
                <w:bCs/>
                <w:color w:val="FFFFFF"/>
                <w:sz w:val="20"/>
                <w:szCs w:val="20"/>
              </w:rPr>
              <w:t xml:space="preserve">Notes</w:t>
            </w:r>
          </w:p>
        </w:tc>
      </w:tr>
      <w:tr>
        <w:tc>
          <w:tcPr>
            <w:tcW w:type="dxa" w:w="3200"/>
            <w:shd w:fill="F7F9FC" w:val="clear"/>
            <w:vAlign w:val="center"/>
          </w:tcPr>
          <w:p>
            <w:r>
              <w:rPr>
                <w:b w:val="false"/>
                <w:bCs w:val="false"/>
                <w:color w:val="000000"/>
                <w:sz w:val="20"/>
                <w:szCs w:val="20"/>
              </w:rPr>
              <w:t xml:space="preserve">patient_master.csv</w:t>
            </w:r>
          </w:p>
        </w:tc>
        <w:tc>
          <w:tcPr>
            <w:tcW w:type="dxa" w:w="3200"/>
            <w:shd w:fill="F7F9FC" w:val="clear"/>
            <w:vAlign w:val="center"/>
          </w:tcPr>
          <w:p>
            <w:r>
              <w:rPr>
                <w:b w:val="false"/>
                <w:bCs w:val="false"/>
                <w:color w:val="000000"/>
                <w:sz w:val="20"/>
                <w:szCs w:val="20"/>
              </w:rPr>
              <w:t xml:space="preserve">patients.csv</w:t>
            </w:r>
          </w:p>
        </w:tc>
        <w:tc>
          <w:tcPr>
            <w:tcW w:type="dxa" w:w="3600"/>
            <w:shd w:fill="F7F9FC" w:val="clear"/>
            <w:vAlign w:val="center"/>
          </w:tcPr>
          <w:p>
            <w:r>
              <w:rPr>
                <w:b w:val="false"/>
                <w:bCs w:val="false"/>
                <w:color w:val="000000"/>
                <w:sz w:val="20"/>
                <w:szCs w:val="20"/>
              </w:rPr>
              <w:t xml:space="preserve">Same subject matter; renamed</w:t>
            </w:r>
          </w:p>
        </w:tc>
      </w:tr>
      <w:tr>
        <w:tc>
          <w:tcPr>
            <w:tcW w:type="dxa" w:w="3200"/>
            <w:shd w:fill="F7F9FC" w:val="clear"/>
            <w:vAlign w:val="center"/>
          </w:tcPr>
          <w:p>
            <w:r>
              <w:rPr>
                <w:b w:val="false"/>
                <w:bCs w:val="false"/>
                <w:color w:val="000000"/>
                <w:sz w:val="20"/>
                <w:szCs w:val="20"/>
              </w:rPr>
              <w:t xml:space="preserve">appointments.csv</w:t>
            </w:r>
          </w:p>
        </w:tc>
        <w:tc>
          <w:tcPr>
            <w:tcW w:type="dxa" w:w="3200"/>
            <w:shd w:fill="F7F9FC" w:val="clear"/>
            <w:vAlign w:val="center"/>
          </w:tcPr>
          <w:p>
            <w:r>
              <w:rPr>
                <w:b w:val="false"/>
                <w:bCs w:val="false"/>
                <w:color w:val="000000"/>
                <w:sz w:val="20"/>
                <w:szCs w:val="20"/>
              </w:rPr>
              <w:t xml:space="preserve">appointments.csv</w:t>
            </w:r>
          </w:p>
        </w:tc>
        <w:tc>
          <w:tcPr>
            <w:tcW w:type="dxa" w:w="3600"/>
            <w:shd w:fill="F7F9FC" w:val="clear"/>
            <w:vAlign w:val="center"/>
          </w:tcPr>
          <w:p>
            <w:r>
              <w:rPr>
                <w:b w:val="false"/>
                <w:bCs w:val="false"/>
                <w:color w:val="000000"/>
                <w:sz w:val="20"/>
                <w:szCs w:val="20"/>
              </w:rPr>
              <w:t xml:space="preserve">Matched as-is</w:t>
            </w:r>
          </w:p>
        </w:tc>
      </w:tr>
      <w:tr>
        <w:tc>
          <w:tcPr>
            <w:tcW w:type="dxa" w:w="3200"/>
            <w:shd w:fill="F7F9FC" w:val="clear"/>
            <w:vAlign w:val="center"/>
          </w:tcPr>
          <w:p>
            <w:r>
              <w:rPr>
                <w:b w:val="false"/>
                <w:bCs w:val="false"/>
                <w:color w:val="000000"/>
                <w:sz w:val="20"/>
                <w:szCs w:val="20"/>
              </w:rPr>
              <w:t xml:space="preserve">billing_claims.csv</w:t>
            </w:r>
          </w:p>
        </w:tc>
        <w:tc>
          <w:tcPr>
            <w:tcW w:type="dxa" w:w="3200"/>
            <w:shd w:fill="F7F9FC" w:val="clear"/>
            <w:vAlign w:val="center"/>
          </w:tcPr>
          <w:p>
            <w:r>
              <w:rPr>
                <w:b w:val="false"/>
                <w:bCs w:val="false"/>
                <w:color w:val="000000"/>
                <w:sz w:val="20"/>
                <w:szCs w:val="20"/>
              </w:rPr>
              <w:t xml:space="preserve">billing.csv</w:t>
            </w:r>
          </w:p>
        </w:tc>
        <w:tc>
          <w:tcPr>
            <w:tcW w:type="dxa" w:w="3600"/>
            <w:shd w:fill="F7F9FC" w:val="clear"/>
            <w:vAlign w:val="center"/>
          </w:tcPr>
          <w:p>
            <w:r>
              <w:rPr>
                <w:b w:val="false"/>
                <w:bCs w:val="false"/>
                <w:color w:val="000000"/>
                <w:sz w:val="20"/>
                <w:szCs w:val="20"/>
              </w:rPr>
              <w:t xml:space="preserve">Same subject matter; renamed</w:t>
            </w:r>
          </w:p>
        </w:tc>
      </w:tr>
      <w:tr>
        <w:tc>
          <w:tcPr>
            <w:tcW w:type="dxa" w:w="3200"/>
            <w:shd w:fill="F7F9FC" w:val="clear"/>
            <w:vAlign w:val="center"/>
          </w:tcPr>
          <w:p>
            <w:r>
              <w:rPr>
                <w:b w:val="false"/>
                <w:bCs w:val="false"/>
                <w:color w:val="000000"/>
                <w:sz w:val="20"/>
                <w:szCs w:val="20"/>
              </w:rPr>
              <w:t xml:space="preserve">lab_results.csv</w:t>
            </w:r>
          </w:p>
        </w:tc>
        <w:tc>
          <w:tcPr>
            <w:tcW w:type="dxa" w:w="3200"/>
            <w:shd w:fill="F7F9FC" w:val="clear"/>
            <w:vAlign w:val="center"/>
          </w:tcPr>
          <w:p>
            <w:r>
              <w:rPr>
                <w:b w:val="false"/>
                <w:bCs w:val="false"/>
                <w:color w:val="000000"/>
                <w:sz w:val="20"/>
                <w:szCs w:val="20"/>
              </w:rPr>
              <w:t xml:space="preserve">Not provided</w:t>
            </w:r>
          </w:p>
        </w:tc>
        <w:tc>
          <w:tcPr>
            <w:tcW w:type="dxa" w:w="3600"/>
            <w:shd w:fill="F7F9FC" w:val="clear"/>
            <w:vAlign w:val="center"/>
          </w:tcPr>
          <w:p>
            <w:r>
              <w:rPr>
                <w:b w:val="false"/>
                <w:bCs w:val="false"/>
                <w:color w:val="000000"/>
                <w:sz w:val="20"/>
                <w:szCs w:val="20"/>
              </w:rPr>
              <w:t xml:space="preserve">Substituted with doctors.csv</w:t>
            </w:r>
          </w:p>
        </w:tc>
      </w:tr>
      <w:tr>
        <w:tc>
          <w:tcPr>
            <w:tcW w:type="dxa" w:w="3200"/>
            <w:shd w:fill="F7F9FC" w:val="clear"/>
            <w:vAlign w:val="center"/>
          </w:tcPr>
          <w:p>
            <w:r>
              <w:rPr>
                <w:b w:val="false"/>
                <w:bCs w:val="false"/>
                <w:color w:val="000000"/>
                <w:sz w:val="20"/>
                <w:szCs w:val="20"/>
              </w:rPr>
              <w:t xml:space="preserve">medications.csv</w:t>
            </w:r>
          </w:p>
        </w:tc>
        <w:tc>
          <w:tcPr>
            <w:tcW w:type="dxa" w:w="3200"/>
            <w:shd w:fill="F7F9FC" w:val="clear"/>
            <w:vAlign w:val="center"/>
          </w:tcPr>
          <w:p>
            <w:r>
              <w:rPr>
                <w:b w:val="false"/>
                <w:bCs w:val="false"/>
                <w:color w:val="000000"/>
                <w:sz w:val="20"/>
                <w:szCs w:val="20"/>
              </w:rPr>
              <w:t xml:space="preserve">Not provided</w:t>
            </w:r>
          </w:p>
        </w:tc>
        <w:tc>
          <w:tcPr>
            <w:tcW w:type="dxa" w:w="3600"/>
            <w:shd w:fill="F7F9FC" w:val="clear"/>
            <w:vAlign w:val="center"/>
          </w:tcPr>
          <w:p>
            <w:r>
              <w:rPr>
                <w:b w:val="false"/>
                <w:bCs w:val="false"/>
                <w:color w:val="000000"/>
                <w:sz w:val="20"/>
                <w:szCs w:val="20"/>
              </w:rPr>
              <w:t xml:space="preserve">Substituted with treatments.csv</w:t>
            </w:r>
          </w:p>
        </w:tc>
      </w:tr>
    </w:tbl>
    <w:p>
      <w:pPr>
        <w:spacing w:after="150"/>
      </w:pPr>
      <w:r>
        <w:rPr>
          <w:i/>
          <w:iCs/>
          <w:color w:val="555555"/>
          <w:sz w:val="20"/>
          <w:szCs w:val="20"/>
        </w:rPr>
        <w:t xml:space="preserve">Because lab_results.csv and medications.csv were not available, doctors.csv and treatments.csv were ingested in their place as the fifth and sixth data domains, both of which are natural extensions of the hospital appointment/billing model already present in the schema.</w:t>
      </w:r>
    </w:p>
    <w:p>
      <w:pPr>
        <w:pStyle w:val="Heading1"/>
        <w:spacing w:after="200" w:before="400"/>
      </w:pPr>
      <w:r>
        <w:t xml:space="preserve">5. Notebook Implementation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5500"/>
      </w:tblGrid>
      <w:tr>
        <w:trPr>
          <w:tblHeader/>
        </w:trPr>
        <w:tc>
          <w:tcPr>
            <w:tcW w:type="dxa" w:w="500"/>
            <w:shd w:fill="1F3864" w:val="clear"/>
            <w:vAlign w:val="center"/>
          </w:tcPr>
          <w:p>
            <w:r>
              <w:rPr>
                <w:b/>
                <w:bCs/>
                <w:color w:val="FFFFFF"/>
                <w:sz w:val="20"/>
                <w:szCs w:val="20"/>
              </w:rPr>
              <w:t xml:space="preserve">#</w:t>
            </w:r>
          </w:p>
        </w:tc>
        <w:tc>
          <w:tcPr>
            <w:tcW w:type="dxa" w:w="2600"/>
            <w:shd w:fill="1F3864" w:val="clear"/>
            <w:vAlign w:val="center"/>
          </w:tcPr>
          <w:p>
            <w:r>
              <w:rPr>
                <w:b/>
                <w:bCs/>
                <w:color w:val="FFFFFF"/>
                <w:sz w:val="20"/>
                <w:szCs w:val="20"/>
              </w:rPr>
              <w:t xml:space="preserve">Notebook</w:t>
            </w:r>
          </w:p>
        </w:tc>
        <w:tc>
          <w:tcPr>
            <w:tcW w:type="dxa" w:w="1400"/>
            <w:shd w:fill="1F3864" w:val="clear"/>
            <w:vAlign w:val="center"/>
          </w:tcPr>
          <w:p>
            <w:r>
              <w:rPr>
                <w:b/>
                <w:bCs/>
                <w:color w:val="FFFFFF"/>
                <w:sz w:val="20"/>
                <w:szCs w:val="20"/>
              </w:rPr>
              <w:t xml:space="preserve">Layer</w:t>
            </w:r>
          </w:p>
        </w:tc>
        <w:tc>
          <w:tcPr>
            <w:tcW w:type="dxa" w:w="5500"/>
            <w:shd w:fill="1F3864" w:val="clear"/>
            <w:vAlign w:val="center"/>
          </w:tcPr>
          <w:p>
            <w:r>
              <w:rPr>
                <w:b/>
                <w:bCs/>
                <w:color w:val="FFFFFF"/>
                <w:sz w:val="20"/>
                <w:szCs w:val="20"/>
              </w:rPr>
              <w:t xml:space="preserve">Purpose &amp; Outcome</w:t>
            </w:r>
          </w:p>
        </w:tc>
      </w:tr>
      <w:tr>
        <w:tc>
          <w:tcPr>
            <w:tcW w:type="dxa" w:w="500"/>
            <w:shd w:fill="F7F9FC" w:val="clear"/>
            <w:vAlign w:val="center"/>
          </w:tcPr>
          <w:p>
            <w:r>
              <w:rPr>
                <w:b w:val="false"/>
                <w:bCs w:val="false"/>
                <w:color w:val="000000"/>
                <w:sz w:val="20"/>
                <w:szCs w:val="20"/>
              </w:rPr>
              <w:t xml:space="preserve">00</w:t>
            </w:r>
          </w:p>
        </w:tc>
        <w:tc>
          <w:tcPr>
            <w:tcW w:type="dxa" w:w="2600"/>
            <w:shd w:fill="F7F9FC" w:val="clear"/>
            <w:vAlign w:val="center"/>
          </w:tcPr>
          <w:p>
            <w:r>
              <w:rPr>
                <w:b w:val="false"/>
                <w:bCs w:val="false"/>
                <w:color w:val="000000"/>
                <w:sz w:val="20"/>
                <w:szCs w:val="20"/>
              </w:rPr>
              <w:t xml:space="preserve">00_setup_config</w:t>
            </w:r>
          </w:p>
        </w:tc>
        <w:tc>
          <w:tcPr>
            <w:tcW w:type="dxa" w:w="1400"/>
            <w:shd w:fill="F7F9FC" w:val="clear"/>
            <w:vAlign w:val="center"/>
          </w:tcPr>
          <w:p>
            <w:r>
              <w:rPr>
                <w:b w:val="false"/>
                <w:bCs w:val="false"/>
                <w:color w:val="000000"/>
                <w:sz w:val="20"/>
                <w:szCs w:val="20"/>
              </w:rPr>
              <w:t xml:space="preserve">Setup</w:t>
            </w:r>
          </w:p>
        </w:tc>
        <w:tc>
          <w:tcPr>
            <w:tcW w:type="dxa" w:w="5500"/>
            <w:shd w:fill="F7F9FC" w:val="clear"/>
            <w:vAlign w:val="center"/>
          </w:tcPr>
          <w:p>
            <w:r>
              <w:rPr>
                <w:b w:val="false"/>
                <w:bCs w:val="false"/>
                <w:color w:val="000000"/>
                <w:sz w:val="20"/>
                <w:szCs w:val="20"/>
              </w:rPr>
              <w:t xml:space="preserve">Created control database, metadata_config table (5 sources registered), and audit_log Delta table.</w:t>
            </w:r>
          </w:p>
        </w:tc>
      </w:tr>
      <w:tr>
        <w:tc>
          <w:tcPr>
            <w:tcW w:type="dxa" w:w="500"/>
            <w:shd w:fill="F7F9FC" w:val="clear"/>
            <w:vAlign w:val="center"/>
          </w:tcPr>
          <w:p>
            <w:r>
              <w:rPr>
                <w:b w:val="false"/>
                <w:bCs w:val="false"/>
                <w:color w:val="000000"/>
                <w:sz w:val="20"/>
                <w:szCs w:val="20"/>
              </w:rPr>
              <w:t xml:space="preserve">01</w:t>
            </w:r>
          </w:p>
        </w:tc>
        <w:tc>
          <w:tcPr>
            <w:tcW w:type="dxa" w:w="2600"/>
            <w:shd w:fill="F7F9FC" w:val="clear"/>
            <w:vAlign w:val="center"/>
          </w:tcPr>
          <w:p>
            <w:r>
              <w:rPr>
                <w:b w:val="false"/>
                <w:bCs w:val="false"/>
                <w:color w:val="000000"/>
                <w:sz w:val="20"/>
                <w:szCs w:val="20"/>
              </w:rPr>
              <w:t xml:space="preserve">01_ingest_bronze</w:t>
            </w:r>
          </w:p>
        </w:tc>
        <w:tc>
          <w:tcPr>
            <w:tcW w:type="dxa" w:w="1400"/>
            <w:shd w:fill="F7F9FC" w:val="clear"/>
            <w:vAlign w:val="center"/>
          </w:tcPr>
          <w:p>
            <w:r>
              <w:rPr>
                <w:b w:val="false"/>
                <w:bCs w:val="false"/>
                <w:color w:val="000000"/>
                <w:sz w:val="20"/>
                <w:szCs w:val="20"/>
              </w:rPr>
              <w:t xml:space="preserve">Bronze</w:t>
            </w:r>
          </w:p>
        </w:tc>
        <w:tc>
          <w:tcPr>
            <w:tcW w:type="dxa" w:w="5500"/>
            <w:shd w:fill="F7F9FC" w:val="clear"/>
            <w:vAlign w:val="center"/>
          </w:tcPr>
          <w:p>
            <w:r>
              <w:rPr>
                <w:b w:val="false"/>
                <w:bCs w:val="false"/>
                <w:color w:val="000000"/>
                <w:sz w:val="20"/>
                <w:szCs w:val="20"/>
              </w:rPr>
              <w:t xml:space="preserve">Metadata-driven ingestion of all 5 sources into Delta. Rows loaded: patients 50, appointments 200, billing 200, doctors 10, treatments 200.</w:t>
            </w:r>
          </w:p>
        </w:tc>
      </w:tr>
      <w:tr>
        <w:tc>
          <w:tcPr>
            <w:tcW w:type="dxa" w:w="500"/>
            <w:shd w:fill="F7F9FC" w:val="clear"/>
            <w:vAlign w:val="center"/>
          </w:tcPr>
          <w:p>
            <w:r>
              <w:rPr>
                <w:b w:val="false"/>
                <w:bCs w:val="false"/>
                <w:color w:val="000000"/>
                <w:sz w:val="20"/>
                <w:szCs w:val="20"/>
              </w:rPr>
              <w:t xml:space="preserve">02</w:t>
            </w:r>
          </w:p>
        </w:tc>
        <w:tc>
          <w:tcPr>
            <w:tcW w:type="dxa" w:w="2600"/>
            <w:shd w:fill="F7F9FC" w:val="clear"/>
            <w:vAlign w:val="center"/>
          </w:tcPr>
          <w:p>
            <w:r>
              <w:rPr>
                <w:b w:val="false"/>
                <w:bCs w:val="false"/>
                <w:color w:val="000000"/>
                <w:sz w:val="20"/>
                <w:szCs w:val="20"/>
              </w:rPr>
              <w:t xml:space="preserve">02_silver_patients</w:t>
            </w:r>
          </w:p>
        </w:tc>
        <w:tc>
          <w:tcPr>
            <w:tcW w:type="dxa" w:w="1400"/>
            <w:shd w:fill="F7F9FC" w:val="clear"/>
            <w:vAlign w:val="center"/>
          </w:tcPr>
          <w:p>
            <w:r>
              <w:rPr>
                <w:b w:val="false"/>
                <w:bCs w:val="false"/>
                <w:color w:val="000000"/>
                <w:sz w:val="20"/>
                <w:szCs w:val="20"/>
              </w:rPr>
              <w:t xml:space="preserve">Silver</w:t>
            </w:r>
          </w:p>
        </w:tc>
        <w:tc>
          <w:tcPr>
            <w:tcW w:type="dxa" w:w="5500"/>
            <w:shd w:fill="F7F9FC" w:val="clear"/>
            <w:vAlign w:val="center"/>
          </w:tcPr>
          <w:p>
            <w:r>
              <w:rPr>
                <w:b w:val="false"/>
                <w:bCs w:val="false"/>
                <w:color w:val="000000"/>
                <w:sz w:val="20"/>
                <w:szCs w:val="20"/>
              </w:rPr>
              <w:t xml:space="preserve">Deduplicated, validated patients; SHA-256 masking applied to contact_number, email, insurance_number.</w:t>
            </w:r>
          </w:p>
        </w:tc>
      </w:tr>
      <w:tr>
        <w:tc>
          <w:tcPr>
            <w:tcW w:type="dxa" w:w="500"/>
            <w:shd w:fill="F7F9FC" w:val="clear"/>
            <w:vAlign w:val="center"/>
          </w:tcPr>
          <w:p>
            <w:r>
              <w:rPr>
                <w:b w:val="false"/>
                <w:bCs w:val="false"/>
                <w:color w:val="000000"/>
                <w:sz w:val="20"/>
                <w:szCs w:val="20"/>
              </w:rPr>
              <w:t xml:space="preserve">03</w:t>
            </w:r>
          </w:p>
        </w:tc>
        <w:tc>
          <w:tcPr>
            <w:tcW w:type="dxa" w:w="2600"/>
            <w:shd w:fill="F7F9FC" w:val="clear"/>
            <w:vAlign w:val="center"/>
          </w:tcPr>
          <w:p>
            <w:r>
              <w:rPr>
                <w:b w:val="false"/>
                <w:bCs w:val="false"/>
                <w:color w:val="000000"/>
                <w:sz w:val="20"/>
                <w:szCs w:val="20"/>
              </w:rPr>
              <w:t xml:space="preserve">03_silver_appointments</w:t>
            </w:r>
          </w:p>
        </w:tc>
        <w:tc>
          <w:tcPr>
            <w:tcW w:type="dxa" w:w="1400"/>
            <w:shd w:fill="F7F9FC" w:val="clear"/>
            <w:vAlign w:val="center"/>
          </w:tcPr>
          <w:p>
            <w:r>
              <w:rPr>
                <w:b w:val="false"/>
                <w:bCs w:val="false"/>
                <w:color w:val="000000"/>
                <w:sz w:val="20"/>
                <w:szCs w:val="20"/>
              </w:rPr>
              <w:t xml:space="preserve">Silver</w:t>
            </w:r>
          </w:p>
        </w:tc>
        <w:tc>
          <w:tcPr>
            <w:tcW w:type="dxa" w:w="5500"/>
            <w:shd w:fill="F7F9FC" w:val="clear"/>
            <w:vAlign w:val="center"/>
          </w:tcPr>
          <w:p>
            <w:r>
              <w:rPr>
                <w:b w:val="false"/>
                <w:bCs w:val="false"/>
                <w:color w:val="000000"/>
                <w:sz w:val="20"/>
                <w:szCs w:val="20"/>
              </w:rPr>
              <w:t xml:space="preserve">Joined to patients &amp; doctors; added no_show_flag and cancelled_flag derived from status.</w:t>
            </w:r>
          </w:p>
        </w:tc>
      </w:tr>
      <w:tr>
        <w:tc>
          <w:tcPr>
            <w:tcW w:type="dxa" w:w="500"/>
            <w:shd w:fill="F7F9FC" w:val="clear"/>
            <w:vAlign w:val="center"/>
          </w:tcPr>
          <w:p>
            <w:r>
              <w:rPr>
                <w:b w:val="false"/>
                <w:bCs w:val="false"/>
                <w:color w:val="000000"/>
                <w:sz w:val="20"/>
                <w:szCs w:val="20"/>
              </w:rPr>
              <w:t xml:space="preserve">04</w:t>
            </w:r>
          </w:p>
        </w:tc>
        <w:tc>
          <w:tcPr>
            <w:tcW w:type="dxa" w:w="2600"/>
            <w:shd w:fill="F7F9FC" w:val="clear"/>
            <w:vAlign w:val="center"/>
          </w:tcPr>
          <w:p>
            <w:r>
              <w:rPr>
                <w:b w:val="false"/>
                <w:bCs w:val="false"/>
                <w:color w:val="000000"/>
                <w:sz w:val="20"/>
                <w:szCs w:val="20"/>
              </w:rPr>
              <w:t xml:space="preserve">04_silver_billing</w:t>
            </w:r>
          </w:p>
        </w:tc>
        <w:tc>
          <w:tcPr>
            <w:tcW w:type="dxa" w:w="1400"/>
            <w:shd w:fill="F7F9FC" w:val="clear"/>
            <w:vAlign w:val="center"/>
          </w:tcPr>
          <w:p>
            <w:r>
              <w:rPr>
                <w:b w:val="false"/>
                <w:bCs w:val="false"/>
                <w:color w:val="000000"/>
                <w:sz w:val="20"/>
                <w:szCs w:val="20"/>
              </w:rPr>
              <w:t xml:space="preserve">Silver</w:t>
            </w:r>
          </w:p>
        </w:tc>
        <w:tc>
          <w:tcPr>
            <w:tcW w:type="dxa" w:w="5500"/>
            <w:shd w:fill="F7F9FC" w:val="clear"/>
            <w:vAlign w:val="center"/>
          </w:tcPr>
          <w:p>
            <w:r>
              <w:rPr>
                <w:b w:val="false"/>
                <w:bCs w:val="false"/>
                <w:color w:val="000000"/>
                <w:sz w:val="20"/>
                <w:szCs w:val="20"/>
              </w:rPr>
              <w:t xml:space="preserve">Validated positive charge amounts; standardized payment_status; joined to patients.</w:t>
            </w:r>
          </w:p>
        </w:tc>
      </w:tr>
      <w:tr>
        <w:tc>
          <w:tcPr>
            <w:tcW w:type="dxa" w:w="500"/>
            <w:shd w:fill="F7F9FC" w:val="clear"/>
            <w:vAlign w:val="center"/>
          </w:tcPr>
          <w:p>
            <w:r>
              <w:rPr>
                <w:b w:val="false"/>
                <w:bCs w:val="false"/>
                <w:color w:val="000000"/>
                <w:sz w:val="20"/>
                <w:szCs w:val="20"/>
              </w:rPr>
              <w:t xml:space="preserve">05</w:t>
            </w:r>
          </w:p>
        </w:tc>
        <w:tc>
          <w:tcPr>
            <w:tcW w:type="dxa" w:w="2600"/>
            <w:shd w:fill="F7F9FC" w:val="clear"/>
            <w:vAlign w:val="center"/>
          </w:tcPr>
          <w:p>
            <w:r>
              <w:rPr>
                <w:b w:val="false"/>
                <w:bCs w:val="false"/>
                <w:color w:val="000000"/>
                <w:sz w:val="20"/>
                <w:szCs w:val="20"/>
              </w:rPr>
              <w:t xml:space="preserve">05_silver_doctors_treatments</w:t>
            </w:r>
          </w:p>
        </w:tc>
        <w:tc>
          <w:tcPr>
            <w:tcW w:type="dxa" w:w="1400"/>
            <w:shd w:fill="F7F9FC" w:val="clear"/>
            <w:vAlign w:val="center"/>
          </w:tcPr>
          <w:p>
            <w:r>
              <w:rPr>
                <w:b w:val="false"/>
                <w:bCs w:val="false"/>
                <w:color w:val="000000"/>
                <w:sz w:val="20"/>
                <w:szCs w:val="20"/>
              </w:rPr>
              <w:t xml:space="preserve">Silver</w:t>
            </w:r>
          </w:p>
        </w:tc>
        <w:tc>
          <w:tcPr>
            <w:tcW w:type="dxa" w:w="5500"/>
            <w:shd w:fill="F7F9FC" w:val="clear"/>
            <w:vAlign w:val="center"/>
          </w:tcPr>
          <w:p>
            <w:r>
              <w:rPr>
                <w:b w:val="false"/>
                <w:bCs w:val="false"/>
                <w:color w:val="000000"/>
                <w:sz w:val="20"/>
                <w:szCs w:val="20"/>
              </w:rPr>
              <w:t xml:space="preserve">Deduplicated doctors and treatments (substituted for the PDD's lab/medications notebook).</w:t>
            </w:r>
          </w:p>
        </w:tc>
      </w:tr>
      <w:tr>
        <w:tc>
          <w:tcPr>
            <w:tcW w:type="dxa" w:w="500"/>
            <w:shd w:fill="F7F9FC" w:val="clear"/>
            <w:vAlign w:val="center"/>
          </w:tcPr>
          <w:p>
            <w:r>
              <w:rPr>
                <w:b w:val="false"/>
                <w:bCs w:val="false"/>
                <w:color w:val="000000"/>
                <w:sz w:val="20"/>
                <w:szCs w:val="20"/>
              </w:rPr>
              <w:t xml:space="preserve">06</w:t>
            </w:r>
          </w:p>
        </w:tc>
        <w:tc>
          <w:tcPr>
            <w:tcW w:type="dxa" w:w="2600"/>
            <w:shd w:fill="F7F9FC" w:val="clear"/>
            <w:vAlign w:val="center"/>
          </w:tcPr>
          <w:p>
            <w:r>
              <w:rPr>
                <w:b w:val="false"/>
                <w:bCs w:val="false"/>
                <w:color w:val="000000"/>
                <w:sz w:val="20"/>
                <w:szCs w:val="20"/>
              </w:rPr>
              <w:t xml:space="preserve">06_gold_kpis</w:t>
            </w:r>
          </w:p>
        </w:tc>
        <w:tc>
          <w:tcPr>
            <w:tcW w:type="dxa" w:w="1400"/>
            <w:shd w:fill="F7F9FC" w:val="clear"/>
            <w:vAlign w:val="center"/>
          </w:tcPr>
          <w:p>
            <w:r>
              <w:rPr>
                <w:b w:val="false"/>
                <w:bCs w:val="false"/>
                <w:color w:val="000000"/>
                <w:sz w:val="20"/>
                <w:szCs w:val="20"/>
              </w:rPr>
              <w:t xml:space="preserve">Gold</w:t>
            </w:r>
          </w:p>
        </w:tc>
        <w:tc>
          <w:tcPr>
            <w:tcW w:type="dxa" w:w="5500"/>
            <w:shd w:fill="F7F9FC" w:val="clear"/>
            <w:vAlign w:val="center"/>
          </w:tcPr>
          <w:p>
            <w:r>
              <w:rPr>
                <w:b w:val="false"/>
                <w:bCs w:val="false"/>
                <w:color w:val="000000"/>
                <w:sz w:val="20"/>
                <w:szCs w:val="20"/>
              </w:rPr>
              <w:t xml:space="preserve">Computed 5 Gold KPI tables from Silver data (see Section 6).</w:t>
            </w:r>
          </w:p>
        </w:tc>
      </w:tr>
      <w:tr>
        <w:tc>
          <w:tcPr>
            <w:tcW w:type="dxa" w:w="500"/>
            <w:shd w:fill="F7F9FC" w:val="clear"/>
            <w:vAlign w:val="center"/>
          </w:tcPr>
          <w:p>
            <w:r>
              <w:rPr>
                <w:b w:val="false"/>
                <w:bCs w:val="false"/>
                <w:color w:val="000000"/>
                <w:sz w:val="20"/>
                <w:szCs w:val="20"/>
              </w:rPr>
              <w:t xml:space="preserve">07</w:t>
            </w:r>
          </w:p>
        </w:tc>
        <w:tc>
          <w:tcPr>
            <w:tcW w:type="dxa" w:w="2600"/>
            <w:shd w:fill="F7F9FC" w:val="clear"/>
            <w:vAlign w:val="center"/>
          </w:tcPr>
          <w:p>
            <w:r>
              <w:rPr>
                <w:b w:val="false"/>
                <w:bCs w:val="false"/>
                <w:color w:val="000000"/>
                <w:sz w:val="20"/>
                <w:szCs w:val="20"/>
              </w:rPr>
              <w:t xml:space="preserve">07_audit_report</w:t>
            </w:r>
          </w:p>
        </w:tc>
        <w:tc>
          <w:tcPr>
            <w:tcW w:type="dxa" w:w="1400"/>
            <w:shd w:fill="F7F9FC" w:val="clear"/>
            <w:vAlign w:val="center"/>
          </w:tcPr>
          <w:p>
            <w:r>
              <w:rPr>
                <w:b w:val="false"/>
                <w:bCs w:val="false"/>
                <w:color w:val="000000"/>
                <w:sz w:val="20"/>
                <w:szCs w:val="20"/>
              </w:rPr>
              <w:t xml:space="preserve">Ops</w:t>
            </w:r>
          </w:p>
        </w:tc>
        <w:tc>
          <w:tcPr>
            <w:tcW w:type="dxa" w:w="5500"/>
            <w:shd w:fill="F7F9FC" w:val="clear"/>
            <w:vAlign w:val="center"/>
          </w:tcPr>
          <w:p>
            <w:r>
              <w:rPr>
                <w:b w:val="false"/>
                <w:bCs w:val="false"/>
                <w:color w:val="000000"/>
                <w:sz w:val="20"/>
                <w:szCs w:val="20"/>
              </w:rPr>
              <w:t xml:space="preserve">Queries control.audit_log for full pipeline run history and health summary.</w:t>
            </w:r>
          </w:p>
        </w:tc>
      </w:tr>
    </w:tbl>
    <w:p>
      <w:pPr>
        <w:spacing w:after="60" w:before="200"/>
        <w:jc w:val="center"/>
      </w:pPr>
      <w:r>
        <w:drawing>
          <wp:inline distT="0" distB="0" distL="0" distR="0">
            <wp:extent cx="5334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05100"/>
                    </a:xfrm>
                    <a:prstGeom prst="rect">
                      <a:avLst/>
                    </a:prstGeom>
                  </pic:spPr>
                </pic:pic>
              </a:graphicData>
            </a:graphic>
          </wp:inline>
        </w:drawing>
      </w:r>
    </w:p>
    <w:p>
      <w:pPr>
        <w:spacing w:after="260"/>
        <w:jc w:val="center"/>
      </w:pPr>
      <w:r>
        <w:rPr>
          <w:i/>
          <w:iCs/>
          <w:color w:val="666666"/>
          <w:sz w:val="18"/>
          <w:szCs w:val="18"/>
        </w:rPr>
        <w:t xml:space="preserve">Figure 4: Notebook 00 — metadata_config table populated with all 5 registered sources.</w:t>
      </w:r>
    </w:p>
    <w:p>
      <w:pPr>
        <w:spacing w:after="60" w:before="20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52700"/>
                    </a:xfrm>
                    <a:prstGeom prst="rect">
                      <a:avLst/>
                    </a:prstGeom>
                  </pic:spPr>
                </pic:pic>
              </a:graphicData>
            </a:graphic>
          </wp:inline>
        </w:drawing>
      </w:r>
    </w:p>
    <w:p>
      <w:pPr>
        <w:spacing w:after="260"/>
        <w:jc w:val="center"/>
      </w:pPr>
      <w:r>
        <w:rPr>
          <w:i/>
          <w:iCs/>
          <w:color w:val="666666"/>
          <w:sz w:val="18"/>
          <w:szCs w:val="18"/>
        </w:rPr>
        <w:t xml:space="preserve">Figure 5: Notebook 01 — all 5 sources ingested into Bronze with row counts and audit log entries.</w:t>
      </w:r>
    </w:p>
    <w:p>
      <w:pPr>
        <w:spacing w:after="60" w:before="20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43175"/>
                    </a:xfrm>
                    <a:prstGeom prst="rect">
                      <a:avLst/>
                    </a:prstGeom>
                  </pic:spPr>
                </pic:pic>
              </a:graphicData>
            </a:graphic>
          </wp:inline>
        </w:drawing>
      </w:r>
    </w:p>
    <w:p>
      <w:pPr>
        <w:spacing w:after="260"/>
        <w:jc w:val="center"/>
      </w:pPr>
      <w:r>
        <w:rPr>
          <w:i/>
          <w:iCs/>
          <w:color w:val="666666"/>
          <w:sz w:val="18"/>
          <w:szCs w:val="18"/>
        </w:rPr>
        <w:t xml:space="preserve">Figure 6: Notebook 02 — silver_patients with SHA-256 PII masking confirmed (contact_number, email, insurance_number).</w:t>
      </w:r>
    </w:p>
    <w:p>
      <w:pPr>
        <w:spacing w:after="60" w:before="2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33650"/>
                    </a:xfrm>
                    <a:prstGeom prst="rect">
                      <a:avLst/>
                    </a:prstGeom>
                  </pic:spPr>
                </pic:pic>
              </a:graphicData>
            </a:graphic>
          </wp:inline>
        </w:drawing>
      </w:r>
    </w:p>
    <w:p>
      <w:pPr>
        <w:spacing w:after="260"/>
        <w:jc w:val="center"/>
      </w:pPr>
      <w:r>
        <w:rPr>
          <w:i/>
          <w:iCs/>
          <w:color w:val="666666"/>
          <w:sz w:val="18"/>
          <w:szCs w:val="18"/>
        </w:rPr>
        <w:t xml:space="preserve">Figure 7: Notebook 03 — silver_appointments (200 rows) joined with patients and doctors.</w:t>
      </w:r>
    </w:p>
    <w:p>
      <w:pPr>
        <w:spacing w:after="60" w:before="20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43175"/>
                    </a:xfrm>
                    <a:prstGeom prst="rect">
                      <a:avLst/>
                    </a:prstGeom>
                  </pic:spPr>
                </pic:pic>
              </a:graphicData>
            </a:graphic>
          </wp:inline>
        </w:drawing>
      </w:r>
    </w:p>
    <w:p>
      <w:pPr>
        <w:spacing w:after="260"/>
        <w:jc w:val="center"/>
      </w:pPr>
      <w:r>
        <w:rPr>
          <w:i/>
          <w:iCs/>
          <w:color w:val="666666"/>
          <w:sz w:val="18"/>
          <w:szCs w:val="18"/>
        </w:rPr>
        <w:t xml:space="preserve">Figure 8: Notebook 04 — silver_billing (200 rows) validated and joined to patients.</w:t>
      </w:r>
    </w:p>
    <w:p>
      <w:pPr>
        <w:spacing w:after="60" w:before="20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43175"/>
                    </a:xfrm>
                    <a:prstGeom prst="rect">
                      <a:avLst/>
                    </a:prstGeom>
                  </pic:spPr>
                </pic:pic>
              </a:graphicData>
            </a:graphic>
          </wp:inline>
        </w:drawing>
      </w:r>
    </w:p>
    <w:p>
      <w:pPr>
        <w:spacing w:after="260"/>
        <w:jc w:val="center"/>
      </w:pPr>
      <w:r>
        <w:rPr>
          <w:i/>
          <w:iCs/>
          <w:color w:val="666666"/>
          <w:sz w:val="18"/>
          <w:szCs w:val="18"/>
        </w:rPr>
        <w:t xml:space="preserve">Figure 9: Notebook 05 — silver_doctors (10 rows) and silver_treatments (200 rows) cleansed.</w:t>
      </w:r>
    </w:p>
    <w:p>
      <w:pPr>
        <w:pStyle w:val="Heading1"/>
        <w:spacing w:after="200" w:before="400"/>
      </w:pPr>
      <w:r>
        <w:t xml:space="preserve">6. Gold Layer KPIs</w:t>
      </w:r>
    </w:p>
    <w:p>
      <w:pPr>
        <w:pStyle w:val="Heading2"/>
        <w:spacing w:after="150" w:before="300"/>
      </w:pPr>
      <w:r>
        <w:t xml:space="preserve">6.1 KPIs Implemented</w:t>
      </w:r>
    </w:p>
    <w:p>
      <w:pPr>
        <w:spacing w:after="150"/>
      </w:pPr>
      <w:r>
        <w:t xml:space="preserve">The following KPIs were computed directly from Silver-layer tables and are backed entirely by data present in the actual source files: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rPr>
          <w:tblHeader/>
        </w:trPr>
        <w:tc>
          <w:tcPr>
            <w:tcW w:type="dxa" w:w="3200"/>
            <w:shd w:fill="1F3864" w:val="clear"/>
            <w:vAlign w:val="center"/>
          </w:tcPr>
          <w:p>
            <w:r>
              <w:rPr>
                <w:b/>
                <w:bCs/>
                <w:color w:val="FFFFFF"/>
                <w:sz w:val="20"/>
                <w:szCs w:val="20"/>
              </w:rPr>
              <w:t xml:space="preserve">KPI</w:t>
            </w:r>
          </w:p>
        </w:tc>
        <w:tc>
          <w:tcPr>
            <w:tcW w:type="dxa" w:w="3200"/>
            <w:shd w:fill="1F3864" w:val="clear"/>
            <w:vAlign w:val="center"/>
          </w:tcPr>
          <w:p>
            <w:r>
              <w:rPr>
                <w:b/>
                <w:bCs/>
                <w:color w:val="FFFFFF"/>
                <w:sz w:val="20"/>
                <w:szCs w:val="20"/>
              </w:rPr>
              <w:t xml:space="preserve">Gold Table</w:t>
            </w:r>
          </w:p>
        </w:tc>
        <w:tc>
          <w:tcPr>
            <w:tcW w:type="dxa" w:w="3600"/>
            <w:shd w:fill="1F3864" w:val="clear"/>
            <w:vAlign w:val="center"/>
          </w:tcPr>
          <w:p>
            <w:r>
              <w:rPr>
                <w:b/>
                <w:bCs/>
                <w:color w:val="FFFFFF"/>
                <w:sz w:val="20"/>
                <w:szCs w:val="20"/>
              </w:rPr>
              <w:t xml:space="preserve">Logic</w:t>
            </w:r>
          </w:p>
        </w:tc>
      </w:tr>
      <w:tr>
        <w:tc>
          <w:tcPr>
            <w:tcW w:type="dxa" w:w="3200"/>
            <w:shd w:fill="F7F9FC" w:val="clear"/>
            <w:vAlign w:val="center"/>
          </w:tcPr>
          <w:p>
            <w:r>
              <w:rPr>
                <w:b w:val="false"/>
                <w:bCs w:val="false"/>
                <w:color w:val="000000"/>
                <w:sz w:val="20"/>
                <w:szCs w:val="20"/>
              </w:rPr>
              <w:t xml:space="preserve">Patient No-Show Rate</w:t>
            </w:r>
          </w:p>
        </w:tc>
        <w:tc>
          <w:tcPr>
            <w:tcW w:type="dxa" w:w="3200"/>
            <w:shd w:fill="F7F9FC" w:val="clear"/>
            <w:vAlign w:val="center"/>
          </w:tcPr>
          <w:p>
            <w:r>
              <w:rPr>
                <w:b w:val="false"/>
                <w:bCs w:val="false"/>
                <w:color w:val="000000"/>
                <w:sz w:val="20"/>
                <w:szCs w:val="20"/>
              </w:rPr>
              <w:t xml:space="preserve">gold.kpi_appointment_rates</w:t>
            </w:r>
          </w:p>
        </w:tc>
        <w:tc>
          <w:tcPr>
            <w:tcW w:type="dxa" w:w="3600"/>
            <w:shd w:fill="F7F9FC" w:val="clear"/>
            <w:vAlign w:val="center"/>
          </w:tcPr>
          <w:p>
            <w:r>
              <w:rPr>
                <w:b w:val="false"/>
                <w:bCs w:val="false"/>
                <w:color w:val="000000"/>
                <w:sz w:val="20"/>
                <w:szCs w:val="20"/>
              </w:rPr>
              <w:t xml:space="preserve">No-shows ÷ Total Appointments × 100</w:t>
            </w:r>
          </w:p>
        </w:tc>
      </w:tr>
      <w:tr>
        <w:tc>
          <w:tcPr>
            <w:tcW w:type="dxa" w:w="3200"/>
            <w:shd w:fill="F7F9FC" w:val="clear"/>
            <w:vAlign w:val="center"/>
          </w:tcPr>
          <w:p>
            <w:r>
              <w:rPr>
                <w:b w:val="false"/>
                <w:bCs w:val="false"/>
                <w:color w:val="000000"/>
                <w:sz w:val="20"/>
                <w:szCs w:val="20"/>
              </w:rPr>
              <w:t xml:space="preserve">Appointment Cancellation Rate</w:t>
            </w:r>
          </w:p>
        </w:tc>
        <w:tc>
          <w:tcPr>
            <w:tcW w:type="dxa" w:w="3200"/>
            <w:shd w:fill="F7F9FC" w:val="clear"/>
            <w:vAlign w:val="center"/>
          </w:tcPr>
          <w:p>
            <w:r>
              <w:rPr>
                <w:b w:val="false"/>
                <w:bCs w:val="false"/>
                <w:color w:val="000000"/>
                <w:sz w:val="20"/>
                <w:szCs w:val="20"/>
              </w:rPr>
              <w:t xml:space="preserve">gold.kpi_appointment_rates</w:t>
            </w:r>
          </w:p>
        </w:tc>
        <w:tc>
          <w:tcPr>
            <w:tcW w:type="dxa" w:w="3600"/>
            <w:shd w:fill="F7F9FC" w:val="clear"/>
            <w:vAlign w:val="center"/>
          </w:tcPr>
          <w:p>
            <w:r>
              <w:rPr>
                <w:b w:val="false"/>
                <w:bCs w:val="false"/>
                <w:color w:val="000000"/>
                <w:sz w:val="20"/>
                <w:szCs w:val="20"/>
              </w:rPr>
              <w:t xml:space="preserve">Cancelled ÷ Total Appointments × 100</w:t>
            </w:r>
          </w:p>
        </w:tc>
      </w:tr>
      <w:tr>
        <w:tc>
          <w:tcPr>
            <w:tcW w:type="dxa" w:w="3200"/>
            <w:shd w:fill="F7F9FC" w:val="clear"/>
            <w:vAlign w:val="center"/>
          </w:tcPr>
          <w:p>
            <w:r>
              <w:rPr>
                <w:b w:val="false"/>
                <w:bCs w:val="false"/>
                <w:color w:val="000000"/>
                <w:sz w:val="20"/>
                <w:szCs w:val="20"/>
              </w:rPr>
              <w:t xml:space="preserve">Billing Accuracy Rate</w:t>
            </w:r>
          </w:p>
        </w:tc>
        <w:tc>
          <w:tcPr>
            <w:tcW w:type="dxa" w:w="3200"/>
            <w:shd w:fill="F7F9FC" w:val="clear"/>
            <w:vAlign w:val="center"/>
          </w:tcPr>
          <w:p>
            <w:r>
              <w:rPr>
                <w:b w:val="false"/>
                <w:bCs w:val="false"/>
                <w:color w:val="000000"/>
                <w:sz w:val="20"/>
                <w:szCs w:val="20"/>
              </w:rPr>
              <w:t xml:space="preserve">gold.kpi_billing_accuracy</w:t>
            </w:r>
          </w:p>
        </w:tc>
        <w:tc>
          <w:tcPr>
            <w:tcW w:type="dxa" w:w="3600"/>
            <w:shd w:fill="F7F9FC" w:val="clear"/>
            <w:vAlign w:val="center"/>
          </w:tcPr>
          <w:p>
            <w:r>
              <w:rPr>
                <w:b w:val="false"/>
                <w:bCs w:val="false"/>
                <w:color w:val="000000"/>
                <w:sz w:val="20"/>
                <w:szCs w:val="20"/>
              </w:rPr>
              <w:t xml:space="preserve">Non-failed transactions ÷ Total transactions × 100</w:t>
            </w:r>
          </w:p>
        </w:tc>
      </w:tr>
      <w:tr>
        <w:tc>
          <w:tcPr>
            <w:tcW w:type="dxa" w:w="3200"/>
            <w:shd w:fill="F7F9FC" w:val="clear"/>
            <w:vAlign w:val="center"/>
          </w:tcPr>
          <w:p>
            <w:r>
              <w:rPr>
                <w:b w:val="false"/>
                <w:bCs w:val="false"/>
                <w:color w:val="000000"/>
                <w:sz w:val="20"/>
                <w:szCs w:val="20"/>
              </w:rPr>
              <w:t xml:space="preserve">Insurance Claim Approval Rate</w:t>
            </w:r>
          </w:p>
        </w:tc>
        <w:tc>
          <w:tcPr>
            <w:tcW w:type="dxa" w:w="3200"/>
            <w:shd w:fill="F7F9FC" w:val="clear"/>
            <w:vAlign w:val="center"/>
          </w:tcPr>
          <w:p>
            <w:r>
              <w:rPr>
                <w:b w:val="false"/>
                <w:bCs w:val="false"/>
                <w:color w:val="000000"/>
                <w:sz w:val="20"/>
                <w:szCs w:val="20"/>
              </w:rPr>
              <w:t xml:space="preserve">gold.kpi_claim_approval</w:t>
            </w:r>
          </w:p>
        </w:tc>
        <w:tc>
          <w:tcPr>
            <w:tcW w:type="dxa" w:w="3600"/>
            <w:shd w:fill="F7F9FC" w:val="clear"/>
            <w:vAlign w:val="center"/>
          </w:tcPr>
          <w:p>
            <w:r>
              <w:rPr>
                <w:b w:val="false"/>
                <w:bCs w:val="false"/>
                <w:color w:val="000000"/>
                <w:sz w:val="20"/>
                <w:szCs w:val="20"/>
              </w:rPr>
              <w:t xml:space="preserve">Paid insurance claims ÷ Total insurance claims × 100</w:t>
            </w:r>
          </w:p>
        </w:tc>
      </w:tr>
      <w:tr>
        <w:tc>
          <w:tcPr>
            <w:tcW w:type="dxa" w:w="3200"/>
            <w:shd w:fill="F7F9FC" w:val="clear"/>
            <w:vAlign w:val="center"/>
          </w:tcPr>
          <w:p>
            <w:r>
              <w:rPr>
                <w:b w:val="false"/>
                <w:bCs w:val="false"/>
                <w:color w:val="000000"/>
                <w:sz w:val="20"/>
                <w:szCs w:val="20"/>
              </w:rPr>
              <w:t xml:space="preserve">Revenue by Doctor Specialization</w:t>
            </w:r>
          </w:p>
        </w:tc>
        <w:tc>
          <w:tcPr>
            <w:tcW w:type="dxa" w:w="3200"/>
            <w:shd w:fill="F7F9FC" w:val="clear"/>
            <w:vAlign w:val="center"/>
          </w:tcPr>
          <w:p>
            <w:r>
              <w:rPr>
                <w:b w:val="false"/>
                <w:bCs w:val="false"/>
                <w:color w:val="000000"/>
                <w:sz w:val="20"/>
                <w:szCs w:val="20"/>
              </w:rPr>
              <w:t xml:space="preserve">gold.kpi_revenue_by_specialization</w:t>
            </w:r>
          </w:p>
        </w:tc>
        <w:tc>
          <w:tcPr>
            <w:tcW w:type="dxa" w:w="3600"/>
            <w:shd w:fill="F7F9FC" w:val="clear"/>
            <w:vAlign w:val="center"/>
          </w:tcPr>
          <w:p>
            <w:r>
              <w:rPr>
                <w:b w:val="false"/>
                <w:bCs w:val="false"/>
                <w:color w:val="000000"/>
                <w:sz w:val="20"/>
                <w:szCs w:val="20"/>
              </w:rPr>
              <w:t xml:space="preserve">SUM(billing amount) grouped by doctor specialization</w:t>
            </w:r>
          </w:p>
        </w:tc>
      </w:tr>
      <w:tr>
        <w:tc>
          <w:tcPr>
            <w:tcW w:type="dxa" w:w="3200"/>
            <w:shd w:fill="F7F9FC" w:val="clear"/>
            <w:vAlign w:val="center"/>
          </w:tcPr>
          <w:p>
            <w:r>
              <w:rPr>
                <w:b w:val="false"/>
                <w:bCs w:val="false"/>
                <w:color w:val="000000"/>
                <w:sz w:val="20"/>
                <w:szCs w:val="20"/>
              </w:rPr>
              <w:t xml:space="preserve">Doctor Appointment Workload</w:t>
            </w:r>
          </w:p>
        </w:tc>
        <w:tc>
          <w:tcPr>
            <w:tcW w:type="dxa" w:w="3200"/>
            <w:shd w:fill="F7F9FC" w:val="clear"/>
            <w:vAlign w:val="center"/>
          </w:tcPr>
          <w:p>
            <w:r>
              <w:rPr>
                <w:b w:val="false"/>
                <w:bCs w:val="false"/>
                <w:color w:val="000000"/>
                <w:sz w:val="20"/>
                <w:szCs w:val="20"/>
              </w:rPr>
              <w:t xml:space="preserve">gold.kpi_doctor_workload</w:t>
            </w:r>
          </w:p>
        </w:tc>
        <w:tc>
          <w:tcPr>
            <w:tcW w:type="dxa" w:w="3600"/>
            <w:shd w:fill="F7F9FC" w:val="clear"/>
            <w:vAlign w:val="center"/>
          </w:tcPr>
          <w:p>
            <w:r>
              <w:rPr>
                <w:b w:val="false"/>
                <w:bCs w:val="false"/>
                <w:color w:val="000000"/>
                <w:sz w:val="20"/>
                <w:szCs w:val="20"/>
              </w:rPr>
              <w:t xml:space="preserve">Appointment count and no-show rate per doctor</w:t>
            </w:r>
          </w:p>
        </w:tc>
      </w:tr>
    </w:tbl>
    <w:p>
      <w:pPr>
        <w:spacing w:after="150"/>
      </w:pPr>
      <w:r>
        <w:rPr>
          <w:i/>
          <w:iCs/>
          <w:color w:val="555555"/>
          <w:sz w:val="20"/>
          <w:szCs w:val="20"/>
        </w:rPr>
        <w:t xml:space="preserve">Measured result (sample run): total appointments = 200, patient no-show rate = 26%. Full current values for all KPIs are available by querying the respective gold.kpi_* Delta tables in Databricks.</w:t>
      </w:r>
    </w:p>
    <w:p>
      <w:pPr>
        <w:spacing w:after="60" w:before="20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714625"/>
                    </a:xfrm>
                    <a:prstGeom prst="rect">
                      <a:avLst/>
                    </a:prstGeom>
                  </pic:spPr>
                </pic:pic>
              </a:graphicData>
            </a:graphic>
          </wp:inline>
        </w:drawing>
      </w:r>
    </w:p>
    <w:p>
      <w:pPr>
        <w:spacing w:after="260"/>
        <w:jc w:val="center"/>
      </w:pPr>
      <w:r>
        <w:rPr>
          <w:i/>
          <w:iCs/>
          <w:color w:val="666666"/>
          <w:sz w:val="18"/>
          <w:szCs w:val="18"/>
        </w:rPr>
        <w:t xml:space="preserve">Figure 10: gold.kpi_appointment_rates — 200 appointments, 26% no-show rate, 25.5% cancellation rate.</w:t>
      </w:r>
    </w:p>
    <w:p>
      <w:pPr>
        <w:spacing w:after="60" w:before="20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552700"/>
                    </a:xfrm>
                    <a:prstGeom prst="rect">
                      <a:avLst/>
                    </a:prstGeom>
                  </pic:spPr>
                </pic:pic>
              </a:graphicData>
            </a:graphic>
          </wp:inline>
        </w:drawing>
      </w:r>
    </w:p>
    <w:p>
      <w:pPr>
        <w:spacing w:after="260"/>
        <w:jc w:val="center"/>
      </w:pPr>
      <w:r>
        <w:rPr>
          <w:i/>
          <w:iCs/>
          <w:color w:val="666666"/>
          <w:sz w:val="18"/>
          <w:szCs w:val="18"/>
        </w:rPr>
        <w:t xml:space="preserve">Figure 11: gold.kpi_billing_accuracy — 66.50% billing accuracy, 33.50% failed transactions.</w:t>
      </w:r>
    </w:p>
    <w:p>
      <w:pPr>
        <w:spacing w:after="60" w:before="20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552700"/>
                    </a:xfrm>
                    <a:prstGeom prst="rect">
                      <a:avLst/>
                    </a:prstGeom>
                  </pic:spPr>
                </pic:pic>
              </a:graphicData>
            </a:graphic>
          </wp:inline>
        </w:drawing>
      </w:r>
    </w:p>
    <w:p>
      <w:pPr>
        <w:spacing w:after="260"/>
        <w:jc w:val="center"/>
      </w:pPr>
      <w:r>
        <w:rPr>
          <w:i/>
          <w:iCs/>
          <w:color w:val="666666"/>
          <w:sz w:val="18"/>
          <w:szCs w:val="18"/>
        </w:rPr>
        <w:t xml:space="preserve">Figure 12: gold.kpi_claim_approval — 31.25% insurance claim approval rate.</w:t>
      </w:r>
    </w:p>
    <w:p>
      <w:pPr>
        <w:spacing w:after="60" w:before="20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552700"/>
                    </a:xfrm>
                    <a:prstGeom prst="rect">
                      <a:avLst/>
                    </a:prstGeom>
                  </pic:spPr>
                </pic:pic>
              </a:graphicData>
            </a:graphic>
          </wp:inline>
        </w:drawing>
      </w:r>
    </w:p>
    <w:p>
      <w:pPr>
        <w:spacing w:after="260"/>
        <w:jc w:val="center"/>
      </w:pPr>
      <w:r>
        <w:rPr>
          <w:i/>
          <w:iCs/>
          <w:color w:val="666666"/>
          <w:sz w:val="18"/>
          <w:szCs w:val="18"/>
        </w:rPr>
        <w:t xml:space="preserve">Figure 13: gold.kpi_revenue_by_specialization — Pediatrics leads with ₹12,89,294.61 in revenue across 98 appointments.</w:t>
      </w:r>
    </w:p>
    <w:p>
      <w:pPr>
        <w:spacing w:after="60" w:before="2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533650"/>
                    </a:xfrm>
                    <a:prstGeom prst="rect">
                      <a:avLst/>
                    </a:prstGeom>
                  </pic:spPr>
                </pic:pic>
              </a:graphicData>
            </a:graphic>
          </wp:inline>
        </w:drawing>
      </w:r>
    </w:p>
    <w:p>
      <w:pPr>
        <w:spacing w:after="260"/>
        <w:jc w:val="center"/>
      </w:pPr>
      <w:r>
        <w:rPr>
          <w:i/>
          <w:iCs/>
          <w:color w:val="666666"/>
          <w:sz w:val="18"/>
          <w:szCs w:val="18"/>
        </w:rPr>
        <w:t xml:space="preserve">Figure 14: gold.kpi_doctor_workload — per-doctor appointment counts and no-show rates, led by Dr. Sarah Taylor (29 appointments).</w:t>
      </w:r>
    </w:p>
    <w:p>
      <w:pPr>
        <w:pStyle w:val="Heading2"/>
        <w:spacing w:after="150" w:before="300"/>
      </w:pPr>
      <w:r>
        <w:t xml:space="preserve">6.2 KPIs Not Implemented — Data Gap Analysis</w:t>
      </w:r>
    </w:p>
    <w:p>
      <w:pPr>
        <w:spacing w:after="150"/>
      </w:pPr>
      <w:r>
        <w:t xml:space="preserve">Four of the eight KPIs defined in PDD Section 9 could not be computed. This is not an implementation shortfall: the PDD's KPI formula table (Section 9, Table 10) references source columns and a silver_medications table that were never defined anywhere in the PDD's own data schema (Section 5, Table 7/8) and were not present in any of the actual source CSV files supplied for this project.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800"/>
      </w:tblGrid>
      <w:tr>
        <w:trPr>
          <w:tblHeader/>
        </w:trPr>
        <w:tc>
          <w:tcPr>
            <w:tcW w:type="dxa" w:w="2800"/>
            <w:shd w:fill="1F3864" w:val="clear"/>
            <w:vAlign w:val="center"/>
          </w:tcPr>
          <w:p>
            <w:r>
              <w:rPr>
                <w:b/>
                <w:bCs/>
                <w:color w:val="FFFFFF"/>
                <w:sz w:val="20"/>
                <w:szCs w:val="20"/>
              </w:rPr>
              <w:t xml:space="preserve">KPI (per PDD)</w:t>
            </w:r>
          </w:p>
        </w:tc>
        <w:tc>
          <w:tcPr>
            <w:tcW w:type="dxa" w:w="3400"/>
            <w:shd w:fill="1F3864" w:val="clear"/>
            <w:vAlign w:val="center"/>
          </w:tcPr>
          <w:p>
            <w:r>
              <w:rPr>
                <w:b/>
                <w:bCs/>
                <w:color w:val="FFFFFF"/>
                <w:sz w:val="20"/>
                <w:szCs w:val="20"/>
              </w:rPr>
              <w:t xml:space="preserve">PDD Formula</w:t>
            </w:r>
          </w:p>
        </w:tc>
        <w:tc>
          <w:tcPr>
            <w:tcW w:type="dxa" w:w="3800"/>
            <w:shd w:fill="1F3864" w:val="clear"/>
            <w:vAlign w:val="center"/>
          </w:tcPr>
          <w:p>
            <w:r>
              <w:rPr>
                <w:b/>
                <w:bCs/>
                <w:color w:val="FFFFFF"/>
                <w:sz w:val="20"/>
                <w:szCs w:val="20"/>
              </w:rPr>
              <w:t xml:space="preserve">Missing Requirement</w:t>
            </w:r>
          </w:p>
        </w:tc>
      </w:tr>
      <w:tr>
        <w:tc>
          <w:tcPr>
            <w:tcW w:type="dxa" w:w="2800"/>
            <w:shd w:fill="F7F9FC" w:val="clear"/>
            <w:vAlign w:val="center"/>
          </w:tcPr>
          <w:p>
            <w:r>
              <w:rPr>
                <w:b w:val="false"/>
                <w:bCs w:val="false"/>
                <w:color w:val="000000"/>
                <w:sz w:val="20"/>
                <w:szCs w:val="20"/>
              </w:rPr>
              <w:t xml:space="preserve">Average Length of Stay (ALOS)</w:t>
            </w:r>
          </w:p>
        </w:tc>
        <w:tc>
          <w:tcPr>
            <w:tcW w:type="dxa" w:w="3400"/>
            <w:shd w:fill="F7F9FC" w:val="clear"/>
            <w:vAlign w:val="center"/>
          </w:tcPr>
          <w:p>
            <w:r>
              <w:rPr>
                <w:b w:val="false"/>
                <w:bCs w:val="false"/>
                <w:color w:val="000000"/>
                <w:sz w:val="20"/>
                <w:szCs w:val="20"/>
              </w:rPr>
              <w:t xml:space="preserve">SUM(discharge − admit) / COUNT(patients)</w:t>
            </w:r>
          </w:p>
        </w:tc>
        <w:tc>
          <w:tcPr>
            <w:tcW w:type="dxa" w:w="3800"/>
            <w:shd w:fill="F7F9FC" w:val="clear"/>
            <w:vAlign w:val="center"/>
          </w:tcPr>
          <w:p>
            <w:r>
              <w:rPr>
                <w:b w:val="false"/>
                <w:bCs w:val="false"/>
                <w:color w:val="000000"/>
                <w:sz w:val="20"/>
                <w:szCs w:val="20"/>
              </w:rPr>
              <w:t xml:space="preserve">No admit/discharge date fields exist in any source table</w:t>
            </w:r>
          </w:p>
        </w:tc>
      </w:tr>
      <w:tr>
        <w:tc>
          <w:tcPr>
            <w:tcW w:type="dxa" w:w="2800"/>
            <w:shd w:fill="F7F9FC" w:val="clear"/>
            <w:vAlign w:val="center"/>
          </w:tcPr>
          <w:p>
            <w:r>
              <w:rPr>
                <w:b w:val="false"/>
                <w:bCs w:val="false"/>
                <w:color w:val="000000"/>
                <w:sz w:val="20"/>
                <w:szCs w:val="20"/>
              </w:rPr>
              <w:t xml:space="preserve">HCAHPS Satisfaction Score</w:t>
            </w:r>
          </w:p>
        </w:tc>
        <w:tc>
          <w:tcPr>
            <w:tcW w:type="dxa" w:w="3400"/>
            <w:shd w:fill="F7F9FC" w:val="clear"/>
            <w:vAlign w:val="center"/>
          </w:tcPr>
          <w:p>
            <w:r>
              <w:rPr>
                <w:b w:val="false"/>
                <w:bCs w:val="false"/>
                <w:color w:val="000000"/>
                <w:sz w:val="20"/>
                <w:szCs w:val="20"/>
              </w:rPr>
              <w:t xml:space="preserve">AVG(patient_satisfaction_score)</w:t>
            </w:r>
          </w:p>
        </w:tc>
        <w:tc>
          <w:tcPr>
            <w:tcW w:type="dxa" w:w="3800"/>
            <w:shd w:fill="F7F9FC" w:val="clear"/>
            <w:vAlign w:val="center"/>
          </w:tcPr>
          <w:p>
            <w:r>
              <w:rPr>
                <w:b w:val="false"/>
                <w:bCs w:val="false"/>
                <w:color w:val="000000"/>
                <w:sz w:val="20"/>
                <w:szCs w:val="20"/>
              </w:rPr>
              <w:t xml:space="preserve">No patient satisfaction survey data was collected</w:t>
            </w:r>
          </w:p>
        </w:tc>
      </w:tr>
      <w:tr>
        <w:tc>
          <w:tcPr>
            <w:tcW w:type="dxa" w:w="2800"/>
            <w:shd w:fill="F7F9FC" w:val="clear"/>
            <w:vAlign w:val="center"/>
          </w:tcPr>
          <w:p>
            <w:r>
              <w:rPr>
                <w:b w:val="false"/>
                <w:bCs w:val="false"/>
                <w:color w:val="000000"/>
                <w:sz w:val="20"/>
                <w:szCs w:val="20"/>
              </w:rPr>
              <w:t xml:space="preserve">Medication Inventory Turnover</w:t>
            </w:r>
          </w:p>
        </w:tc>
        <w:tc>
          <w:tcPr>
            <w:tcW w:type="dxa" w:w="3400"/>
            <w:shd w:fill="F7F9FC" w:val="clear"/>
            <w:vAlign w:val="center"/>
          </w:tcPr>
          <w:p>
            <w:r>
              <w:rPr>
                <w:b w:val="false"/>
                <w:bCs w:val="false"/>
                <w:color w:val="000000"/>
                <w:sz w:val="20"/>
                <w:szCs w:val="20"/>
              </w:rPr>
              <w:t xml:space="preserve">Units Dispensed / Avg Inventory Units</w:t>
            </w:r>
          </w:p>
        </w:tc>
        <w:tc>
          <w:tcPr>
            <w:tcW w:type="dxa" w:w="3800"/>
            <w:shd w:fill="F7F9FC" w:val="clear"/>
            <w:vAlign w:val="center"/>
          </w:tcPr>
          <w:p>
            <w:r>
              <w:rPr>
                <w:b w:val="false"/>
                <w:bCs w:val="false"/>
                <w:color w:val="000000"/>
                <w:sz w:val="20"/>
                <w:szCs w:val="20"/>
              </w:rPr>
              <w:t xml:space="preserve">medications.csv was not provided; no silver_medications table exists</w:t>
            </w:r>
          </w:p>
        </w:tc>
      </w:tr>
      <w:tr>
        <w:tc>
          <w:tcPr>
            <w:tcW w:type="dxa" w:w="2800"/>
            <w:shd w:fill="F7F9FC" w:val="clear"/>
            <w:vAlign w:val="center"/>
          </w:tcPr>
          <w:p>
            <w:r>
              <w:rPr>
                <w:b w:val="false"/>
                <w:bCs w:val="false"/>
                <w:color w:val="000000"/>
                <w:sz w:val="20"/>
                <w:szCs w:val="20"/>
              </w:rPr>
              <w:t xml:space="preserve">Patient Readmission Rate</w:t>
            </w:r>
          </w:p>
        </w:tc>
        <w:tc>
          <w:tcPr>
            <w:tcW w:type="dxa" w:w="3400"/>
            <w:shd w:fill="F7F9FC" w:val="clear"/>
            <w:vAlign w:val="center"/>
          </w:tcPr>
          <w:p>
            <w:r>
              <w:rPr>
                <w:b w:val="false"/>
                <w:bCs w:val="false"/>
                <w:color w:val="000000"/>
                <w:sz w:val="20"/>
                <w:szCs w:val="20"/>
              </w:rPr>
              <w:t xml:space="preserve">Readmissions within 30 days / Discharges × 100</w:t>
            </w:r>
          </w:p>
        </w:tc>
        <w:tc>
          <w:tcPr>
            <w:tcW w:type="dxa" w:w="3800"/>
            <w:shd w:fill="F7F9FC" w:val="clear"/>
            <w:vAlign w:val="center"/>
          </w:tcPr>
          <w:p>
            <w:r>
              <w:rPr>
                <w:b w:val="false"/>
                <w:bCs w:val="false"/>
                <w:color w:val="000000"/>
                <w:sz w:val="20"/>
                <w:szCs w:val="20"/>
              </w:rPr>
              <w:t xml:space="preserve">No admission/discharge records exist to detect readmissions</w:t>
            </w:r>
          </w:p>
        </w:tc>
      </w:tr>
    </w:tbl>
    <w:p>
      <w:pPr>
        <w:spacing w:after="150"/>
      </w:pPr>
      <w:r>
        <w:rPr>
          <w:i/>
          <w:iCs/>
          <w:color w:val="555555"/>
          <w:sz w:val="20"/>
          <w:szCs w:val="20"/>
        </w:rPr>
        <w:t xml:space="preserve">Operating Cost per Patient was also affected: its PDD formula depends on silver_medications, which does not exist. Revenue per Patient/Specialization was implemented instead as the closest available substitute using billing data.</w:t>
      </w:r>
    </w:p>
    <w:p>
      <w:pPr>
        <w:pStyle w:val="Heading1"/>
        <w:spacing w:after="200" w:before="400"/>
      </w:pPr>
      <w:r>
        <w:t xml:space="preserve">7. Data Governance, Security &amp; HIPAA Alignment</w:t>
      </w:r>
    </w:p>
    <w:p>
      <w:pPr>
        <w:pStyle w:val="ListParagraph"/>
        <w:numPr>
          <w:ilvl w:val="0"/>
          <w:numId w:val="1"/>
        </w:numPr>
        <w:spacing w:after="80"/>
      </w:pPr>
      <w:r>
        <w:t xml:space="preserve">PII Masking: contact_number, email, and insurance_number in the patients table are hashed with SHA-256 in the Silver layer, following PDD Section 11's masking requirement.</w:t>
      </w:r>
    </w:p>
    <w:p>
      <w:pPr>
        <w:pStyle w:val="ListParagraph"/>
        <w:numPr>
          <w:ilvl w:val="0"/>
          <w:numId w:val="1"/>
        </w:numPr>
        <w:spacing w:after="80"/>
      </w:pPr>
      <w:r>
        <w:t xml:space="preserve">Credential Security: the storage account access key is never hardcoded in any notebook; it is retrieved at runtime via dbutils.secrets.get() from a Databricks secret scope (kv-scope).</w:t>
      </w:r>
    </w:p>
    <w:p>
      <w:pPr>
        <w:pStyle w:val="ListParagraph"/>
        <w:numPr>
          <w:ilvl w:val="0"/>
          <w:numId w:val="1"/>
        </w:numPr>
        <w:spacing w:after="80"/>
      </w:pPr>
      <w:r>
        <w:t xml:space="preserve">Audit Logging: every Bronze ingestion run — successful or failed — is recorded in control.audit_log with batch ID, row counts, timestamps, and error messages, supporting the PDD's HIPAA audit-trail requirement (45 CFR §164.312(b)).</w:t>
      </w:r>
    </w:p>
    <w:p>
      <w:pPr>
        <w:pStyle w:val="ListParagraph"/>
        <w:numPr>
          <w:ilvl w:val="0"/>
          <w:numId w:val="1"/>
        </w:numPr>
        <w:spacing w:after="80"/>
      </w:pPr>
      <w:r>
        <w:t xml:space="preserve">ACID Guarantees: all Bronze, Silver, and Gold tables use Delta Lake, preventing partial writes or data corruption.</w:t>
      </w:r>
    </w:p>
    <w:p>
      <w:pPr>
        <w:pStyle w:val="ListParagraph"/>
        <w:numPr>
          <w:ilvl w:val="0"/>
          <w:numId w:val="1"/>
        </w:numPr>
        <w:spacing w:after="80"/>
      </w:pPr>
      <w:r>
        <w:t xml:space="preserve">Access Control: Databricks workspace access is scoped to the project owner; Unity Catalog-based column-level RBAC (as recommended in PDD Section 11) was not configured in this student-subscription environment but is documented as a recommended next step.</w:t>
      </w:r>
    </w:p>
    <w:p>
      <w:pPr>
        <w:pStyle w:val="Heading1"/>
        <w:spacing w:after="200" w:before="400"/>
      </w:pPr>
      <w:r>
        <w:t xml:space="preserve">8. Pipeline Audit Log — Observed Results</w:t>
      </w:r>
    </w:p>
    <w:p>
      <w:pPr>
        <w:spacing w:after="150"/>
      </w:pPr>
      <w:r>
        <w:t xml:space="preserve">The audit_report notebook (07) queries control.audit_log to summarize pipeline health. A representative run showed 10 total Bronze-layer log entries, 5 marked SUCCESS and 5 marked FAILED.</w:t>
      </w:r>
    </w:p>
    <w:p>
      <w:pPr>
        <w:spacing w:after="150"/>
      </w:pPr>
      <w:r>
        <w:rPr>
          <w:i/>
          <w:iCs/>
          <w:color w:val="555555"/>
          <w:sz w:val="20"/>
          <w:szCs w:val="20"/>
        </w:rPr>
        <w:t xml:space="preserve">The 5 failed entries correspond to an initial ingestion attempt that used the unsupported input_file_name() function under Unity Catalog; this was corrected by switching to the _metadata.file_path column, after which a subsequent run recorded 5 successful loads across all sources. This is preserved in the log intentionally, since capturing both failed and successful runs — rather than only the final clean state — is itself the behavior the PDD's audit framework is designed to demonstrate.</w:t>
      </w:r>
    </w:p>
    <w:p>
      <w:pPr>
        <w:spacing w:after="60" w:before="200"/>
        <w:jc w:val="center"/>
      </w:pPr>
      <w:r>
        <w:drawing>
          <wp:inline distT="0" distB="0" distL="0" distR="0">
            <wp:extent cx="5334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505075"/>
                    </a:xfrm>
                    <a:prstGeom prst="rect">
                      <a:avLst/>
                    </a:prstGeom>
                  </pic:spPr>
                </pic:pic>
              </a:graphicData>
            </a:graphic>
          </wp:inline>
        </w:drawing>
      </w:r>
    </w:p>
    <w:p>
      <w:pPr>
        <w:spacing w:after="260"/>
        <w:jc w:val="center"/>
      </w:pPr>
      <w:r>
        <w:rPr>
          <w:i/>
          <w:iCs/>
          <w:color w:val="666666"/>
          <w:sz w:val="18"/>
          <w:szCs w:val="18"/>
        </w:rPr>
        <w:t xml:space="preserve">Figure 15: control.audit_log — full 10-row log across all 5 sources, spanning the failed and successful ingestion attempts.</w:t>
      </w:r>
    </w:p>
    <w:p>
      <w:pPr>
        <w:spacing w:after="60" w:before="20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543175"/>
                    </a:xfrm>
                    <a:prstGeom prst="rect">
                      <a:avLst/>
                    </a:prstGeom>
                  </pic:spPr>
                </pic:pic>
              </a:graphicData>
            </a:graphic>
          </wp:inline>
        </w:drawing>
      </w:r>
    </w:p>
    <w:p>
      <w:pPr>
        <w:spacing w:after="260"/>
        <w:jc w:val="center"/>
      </w:pPr>
      <w:r>
        <w:rPr>
          <w:i/>
          <w:iCs/>
          <w:color w:val="666666"/>
          <w:sz w:val="18"/>
          <w:szCs w:val="18"/>
        </w:rPr>
        <w:t xml:space="preserve">Figure 16: Per-source audit summary — 5 SUCCESS and 5 FAILED entries with row counts and durations.</w:t>
      </w:r>
    </w:p>
    <w:p>
      <w:pPr>
        <w:spacing w:after="60" w:before="2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533650"/>
                    </a:xfrm>
                    <a:prstGeom prst="rect">
                      <a:avLst/>
                    </a:prstGeom>
                  </pic:spPr>
                </pic:pic>
              </a:graphicData>
            </a:graphic>
          </wp:inline>
        </w:drawing>
      </w:r>
    </w:p>
    <w:p>
      <w:pPr>
        <w:spacing w:after="260"/>
        <w:jc w:val="center"/>
      </w:pPr>
      <w:r>
        <w:rPr>
          <w:i/>
          <w:iCs/>
          <w:color w:val="666666"/>
          <w:sz w:val="18"/>
          <w:szCs w:val="18"/>
        </w:rPr>
        <w:t xml:space="preserve">Figure 17: Pipeline Health Summary — BRONZE layer: 10 total runs, 5 successful, 5 failed, 660 total rows processed.</w:t>
      </w:r>
    </w:p>
    <w:p>
      <w:pPr>
        <w:pStyle w:val="Heading1"/>
        <w:spacing w:after="200" w:before="400"/>
      </w:pPr>
      <w:r>
        <w:t xml:space="preserve">9. Implementation Notes &amp; Troubleshooting Log</w:t>
      </w:r>
    </w:p>
    <w:p>
      <w:pPr>
        <w:spacing w:after="150"/>
      </w:pPr>
      <w:r>
        <w:t xml:space="preserve">For transparency, the following technical issues were encountered and resolved during implementation:</w:t>
      </w:r>
    </w:p>
    <w:p>
      <w:pPr>
        <w:pStyle w:val="ListParagraph"/>
        <w:numPr>
          <w:ilvl w:val="0"/>
          <w:numId w:val="1"/>
        </w:numPr>
        <w:spacing w:after="80"/>
      </w:pPr>
      <w:r>
        <w:t xml:space="preserve">Azure for Students region restriction (RequestDisallowedByAzure) — resolved by deploying all resources to East US, an allowed region for the subscription.</w:t>
      </w:r>
    </w:p>
    <w:p>
      <w:pPr>
        <w:pStyle w:val="ListParagraph"/>
        <w:numPr>
          <w:ilvl w:val="0"/>
          <w:numId w:val="1"/>
        </w:numPr>
        <w:spacing w:after="80"/>
      </w:pPr>
      <w:r>
        <w:t xml:space="preserve">Legacy Databricks CLI (v0.18) crashed on secret configuration (Windows access violation) — resolved by installing the current official Databricks CLI (v1.7.0) via winget.</w:t>
      </w:r>
    </w:p>
    <w:p>
      <w:pPr>
        <w:pStyle w:val="ListParagraph"/>
        <w:numPr>
          <w:ilvl w:val="0"/>
          <w:numId w:val="1"/>
        </w:numPr>
        <w:spacing w:after="80"/>
      </w:pPr>
      <w:r>
        <w:t xml:space="preserve">Service Principal OAuth authentication to ADLS Gen2 failed with a proxy-selection network error inside the cluster — resolved by switching to Storage Account key-based authentication via the secret scope.</w:t>
      </w:r>
    </w:p>
    <w:p>
      <w:pPr>
        <w:pStyle w:val="ListParagraph"/>
        <w:numPr>
          <w:ilvl w:val="0"/>
          <w:numId w:val="1"/>
        </w:numPr>
        <w:spacing w:after="80"/>
      </w:pPr>
      <w:r>
        <w:t xml:space="preserve">Corrupted secret values from clipboard paste (extra characters) were diagnosed via length checks and corrected using the --string-value flag with the Databricks CLI to avoid interactive editor paste issues.</w:t>
      </w:r>
    </w:p>
    <w:p>
      <w:pPr>
        <w:pStyle w:val="ListParagraph"/>
        <w:numPr>
          <w:ilvl w:val="0"/>
          <w:numId w:val="1"/>
        </w:numPr>
        <w:spacing w:after="80"/>
      </w:pPr>
      <w:r>
        <w:t xml:space="preserve">input_file_name() is blocked under Unity Catalog; replaced with the _metadata.file_path column reference in the Bronze ingestion notebook.</w:t>
      </w:r>
    </w:p>
    <w:p>
      <w:pPr>
        <w:pStyle w:val="Heading1"/>
        <w:spacing w:after="200" w:before="400"/>
      </w:pPr>
      <w:r>
        <w:t xml:space="preserve">10. Conclusion &amp; Recommended Next Steps</w:t>
      </w:r>
    </w:p>
    <w:p>
      <w:pPr>
        <w:spacing w:after="150"/>
      </w:pPr>
      <w:r>
        <w:t xml:space="preserve">The pipeline is fully operational end-to-end: five source files land in ADLS Gen2, flow through Bronze and Silver Delta tables with data quality handling and PII protection, and produce six business-ready Gold KPI tables, all with full audit traceability.</w:t>
      </w:r>
    </w:p>
    <w:p>
      <w:pPr>
        <w:spacing w:after="150"/>
      </w:pPr>
      <w:r>
        <w:t xml:space="preserve">Recommended next steps for a production-grade extension of this work:</w:t>
      </w:r>
    </w:p>
    <w:p>
      <w:pPr>
        <w:pStyle w:val="ListParagraph"/>
        <w:numPr>
          <w:ilvl w:val="0"/>
          <w:numId w:val="1"/>
        </w:numPr>
        <w:spacing w:after="80"/>
      </w:pPr>
      <w:r>
        <w:t xml:space="preserve">Enable Unity Catalog for fine-grained, column-level RBAC as originally recommended in PDD Section 11.</w:t>
      </w:r>
    </w:p>
    <w:p>
      <w:pPr>
        <w:pStyle w:val="ListParagraph"/>
        <w:numPr>
          <w:ilvl w:val="0"/>
          <w:numId w:val="1"/>
        </w:numPr>
        <w:spacing w:after="80"/>
      </w:pPr>
      <w:r>
        <w:t xml:space="preserve">Schedule notebooks 01–07 as a Databricks Workflow with the dependency chain defined in PDD Section 8.1.</w:t>
      </w:r>
    </w:p>
    <w:p>
      <w:pPr>
        <w:pStyle w:val="ListParagraph"/>
        <w:numPr>
          <w:ilvl w:val="0"/>
          <w:numId w:val="1"/>
        </w:numPr>
        <w:spacing w:after="80"/>
      </w:pPr>
      <w:r>
        <w:t xml:space="preserve">Source or simulate admit/discharge and medication inventory data to close the four-KPI gap identified in Section 6.2.</w:t>
      </w:r>
    </w:p>
    <w:p>
      <w:pPr>
        <w:pStyle w:val="ListParagraph"/>
        <w:numPr>
          <w:ilvl w:val="0"/>
          <w:numId w:val="1"/>
        </w:numPr>
        <w:spacing w:after="80"/>
      </w:pPr>
      <w:r>
        <w:t xml:space="preserve">Build a Databricks SQL Dashboard on top of the gold.kpi_* tables for live reporting.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Healthcare Medallion Architecture —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fa915a81e84a20979bd278e568974c350f5643.png"/><Relationship Id="rId10" Type="http://schemas.openxmlformats.org/officeDocument/2006/relationships/image" Target="media/06b9f35191465b2896f0eaf525e591b3b54adf70.png"/><Relationship Id="rId11" Type="http://schemas.openxmlformats.org/officeDocument/2006/relationships/image" Target="media/2f1ed75030e6f1c7bb91676bb0aded981d05d1c6.png"/><Relationship Id="rId12" Type="http://schemas.openxmlformats.org/officeDocument/2006/relationships/image" Target="media/f56235bdc857ec8c4a477f3b004e1b444d6669e6.png"/><Relationship Id="rId13" Type="http://schemas.openxmlformats.org/officeDocument/2006/relationships/image" Target="media/c48d5e68156210460cb9bcccf29d65c0d4b0a73e.png"/><Relationship Id="rId14" Type="http://schemas.openxmlformats.org/officeDocument/2006/relationships/image" Target="media/e10e678306293096518326dd14dfca39ac9653f8.png"/><Relationship Id="rId15" Type="http://schemas.openxmlformats.org/officeDocument/2006/relationships/image" Target="media/94bc3dfef33feb2f00d5baa93d20476c1674c00b.png"/><Relationship Id="rId16" Type="http://schemas.openxmlformats.org/officeDocument/2006/relationships/image" Target="media/7191514a9ec3200473660d1236d858cb73573f52.png"/><Relationship Id="rId17" Type="http://schemas.openxmlformats.org/officeDocument/2006/relationships/image" Target="media/518b7622e7bd0e80fbc261f03165fc4913ba7d42.png"/><Relationship Id="rId18" Type="http://schemas.openxmlformats.org/officeDocument/2006/relationships/image" Target="media/578a46af6f68de0824ad1c22c0c177ab5afa913f.png"/><Relationship Id="rId19" Type="http://schemas.openxmlformats.org/officeDocument/2006/relationships/image" Target="media/56e0cb7694af9087380795623ab3e6349d1af5e3.png"/><Relationship Id="rId20" Type="http://schemas.openxmlformats.org/officeDocument/2006/relationships/image" Target="media/bde6b5595916dcfbffc7a25c76e8e707dccb8daa.png"/><Relationship Id="rId21" Type="http://schemas.openxmlformats.org/officeDocument/2006/relationships/image" Target="media/4ba8bbfcfcbfc802affeb368afe3770f1da6cb3c.png"/><Relationship Id="rId22" Type="http://schemas.openxmlformats.org/officeDocument/2006/relationships/image" Target="media/24d5d949c9ffcbc651201132144dfa6094a55cc5.png"/><Relationship Id="rId23" Type="http://schemas.openxmlformats.org/officeDocument/2006/relationships/image" Target="media/9ec1416765f81473a851c8ea71af5e227a9b967b.png"/><Relationship Id="rId24" Type="http://schemas.openxmlformats.org/officeDocument/2006/relationships/image" Target="media/ce29b27dfe0a1c0bc6dc90678c13c2ceb298e346.png"/><Relationship Id="rId25" Type="http://schemas.openxmlformats.org/officeDocument/2006/relationships/image" Target="media/389c7206f143ed75123df2f459640d8bcd1cc45c.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2026-07-13T10:29:39.910Z</dcterms:created>
  <dcterms:modified xsi:type="dcterms:W3CDTF">2026-07-13T10:29:39.910Z</dcterms:modified>
</cp:coreProperties>
</file>

<file path=docProps/custom.xml><?xml version="1.0" encoding="utf-8"?>
<Properties xmlns="http://schemas.openxmlformats.org/officeDocument/2006/custom-properties" xmlns:vt="http://schemas.openxmlformats.org/officeDocument/2006/docPropsVTypes"/>
</file>