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</w:pPr>
      <w:r>
        <w:rPr>
          <w:b/>
          <w:bCs/>
          <w:sz w:val="44"/>
          <w:szCs w:val="44"/>
        </w:rPr>
        <w:t xml:space="preserve">Future State Maintenance (FSM) PoC</w:t>
      </w:r>
    </w:p>
    <w:p>
      <w:pPr>
        <w:spacing w:after="40"/>
      </w:pPr>
      <w:r>
        <w:rPr>
          <w:color w:val="5F5E5A"/>
          <w:sz w:val="26"/>
          <w:szCs w:val="26"/>
        </w:rPr>
        <w:t xml:space="preserve">Consolidated reference — Analytics &amp; Monitoring</w:t>
      </w:r>
    </w:p>
    <w:p>
      <w:pPr>
        <w:spacing w:after="500"/>
      </w:pPr>
      <w:r>
        <w:rPr>
          <w:color w:val="5F5E5A"/>
          <w:sz w:val="20"/>
          <w:szCs w:val="20"/>
        </w:rPr>
        <w:t xml:space="preserve">Client: Digital Realty  ·  Site scope: EMEA, NAM, APAC  ·  Prepared for: Development team</w:t>
      </w:r>
    </w:p>
    <w:p>
      <w:pPr>
        <w:spacing w:after="140"/>
      </w:pPr>
      <w:r>
        <w:rPr>
          <w:sz w:val="21"/>
          <w:szCs w:val="21"/>
        </w:rPr>
        <w:t xml:space="preserve">This document consolidates everything covered on the Analytics &amp; Monitoring workstream of the FSM PoC: the objectives explained in plain terms, the detection-to-feedback data flow, a full end-to-end example on a real asset, the demo screen specifications, and a summary of the synthetic asset data prepared for the team.</w:t>
      </w:r>
    </w:p>
    <w:p>
      <w:pPr>
        <w:spacing w:after="140"/>
      </w:pPr>
      <w:r>
        <w:rPr>
          <w:sz w:val="21"/>
          <w:szCs w:val="21"/>
        </w:rPr>
        <w:t xml:space="preserve">Companion files (referenced but not duplicated in full here): FSM_PoC_Demo_Screens_Spec.pdf (detailed screen build spec) and FSM_PoC_Synthetic_Asset_Data.xlsx (underlying demo data).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Objectives 2–6, explained for the dev team</w:t>
      </w:r>
    </w:p>
    <w:p>
      <w:pPr>
        <w:spacing w:after="140"/>
      </w:pPr>
      <w:r>
        <w:rPr>
          <w:sz w:val="21"/>
          <w:szCs w:val="21"/>
        </w:rPr>
        <w:t xml:space="preserve">Goal in one line: hook up sensors and old data systems, catch equipment problems early, and prove it saves money. Below is what each objective means in practice and what we build for it.</w:t>
      </w:r>
    </w:p>
    <w:p>
      <w:pPr>
        <w:pStyle w:val="Heading2"/>
        <w:spacing w:after="120" w:before="260"/>
      </w:pPr>
      <w:r>
        <w:t xml:space="preserve">Objective 2 — Integrate existing telemetry with new sensors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What it means: </w:t>
      </w:r>
      <w:r>
        <w:rPr>
          <w:sz w:val="21"/>
          <w:szCs w:val="21"/>
        </w:rPr>
        <w:t xml:space="preserve">Pull data from BMS, EPMS, DCIM, OEM platforms, and CMMS together with new vibration, thermal, and ultrasound sensors into one place, in one format.</w:t>
      </w:r>
    </w:p>
    <w:p>
      <w:pPr>
        <w:spacing w:after="140"/>
      </w:pPr>
      <w:r>
        <w:rPr>
          <w:sz w:val="21"/>
          <w:szCs w:val="21"/>
        </w:rPr>
        <w:t xml:space="preserve">What we build: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Connectors/APIs to pull data out of BMS, EPMS, DCIM, CMMS, OEM systems.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Gateways to bring in vibration, thermal, and ultrasound sensor data.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normalization layer — everything gets time-synced and converted into one common schema.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One dashboard where all of this shows up together.</w:t>
      </w:r>
    </w:p>
    <w:p>
      <w:pPr>
        <w:pStyle w:val="Heading2"/>
        <w:spacing w:after="120" w:before="260"/>
      </w:pPr>
      <w:r>
        <w:t xml:space="preserve">Objective 3 — Catch problems earlier than current maintenance does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What it means: </w:t>
      </w:r>
      <w:r>
        <w:rPr>
          <w:sz w:val="21"/>
          <w:szCs w:val="21"/>
        </w:rPr>
        <w:t xml:space="preserve">Catch mechanical, electrical, and thermal problems from the data before they'd be caught on a routine calendar-based inspection.</w:t>
      </w:r>
    </w:p>
    <w:p>
      <w:pPr>
        <w:spacing w:after="140"/>
      </w:pPr>
      <w:r>
        <w:rPr>
          <w:sz w:val="21"/>
          <w:szCs w:val="21"/>
        </w:rPr>
        <w:t xml:space="preserve">What we build: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Threshold + trend detection per asset (e.g. rising vibration amplitude over 2 weeks = bearing wear starting).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Logic per failure mode: bearing wear, misalignment, imbalance (vibration); loose connections, overheating, insulation breakdown (thermal); arcing, corona discharge, lubrication breakdown (ultrasound).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Alerting that fires before the next scheduled inspection would have caught it.</w:t>
      </w:r>
    </w:p>
    <w:p>
      <w:pPr>
        <w:pStyle w:val="Heading2"/>
        <w:spacing w:after="120" w:before="260"/>
      </w:pPr>
      <w:r>
        <w:t xml:space="preserve">Objective 4 — Turn a detected problem into a clear maintenance action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What it means: </w:t>
      </w:r>
      <w:r>
        <w:rPr>
          <w:sz w:val="21"/>
          <w:szCs w:val="21"/>
        </w:rPr>
        <w:t xml:space="preserve">An alert alone isn't useful — it needs to tell the engineer what to do about it.</w:t>
      </w:r>
    </w:p>
    <w:p>
      <w:pPr>
        <w:spacing w:after="140"/>
      </w:pPr>
      <w:r>
        <w:rPr>
          <w:sz w:val="21"/>
          <w:szCs w:val="21"/>
        </w:rPr>
        <w:t xml:space="preserve">What we build: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recommendation engine mapping detected condition → suggested action (e.g. "vibration signature matches bearing wear on Pump 3 → schedule bearing inspection within 2 weeks").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Each recommendation includes: asset, likely issue, urgency, next step.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Connects into the response workflow: alert → engineering review → condition validation → maintenance action → work order.</w:t>
      </w:r>
    </w:p>
    <w:p>
      <w:pPr>
        <w:pStyle w:val="Heading2"/>
        <w:spacing w:after="120" w:before="260"/>
      </w:pPr>
      <w:r>
        <w:t xml:space="preserve">Objective 5 — Check alerts against what technicians actually find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What it means: </w:t>
      </w:r>
      <w:r>
        <w:rPr>
          <w:sz w:val="21"/>
          <w:szCs w:val="21"/>
        </w:rPr>
        <w:t xml:space="preserve">When a technician inspects an asset after an alert, record whether the system was right. This is how we prove and tune the system.</w:t>
      </w:r>
    </w:p>
    <w:p>
      <w:pPr>
        <w:spacing w:after="140"/>
      </w:pPr>
      <w:r>
        <w:rPr>
          <w:sz w:val="21"/>
          <w:szCs w:val="21"/>
        </w:rPr>
        <w:t xml:space="preserve">What we build: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correlation log: alert ID → work order → inspection outcome (confirmed / false positive / different issue).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way for technicians to log findings back into the system.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Reporting on alert accuracy and false positive rate over time (maps to SOW KPIs: Alert Accuracy ~70–80%, False Positive Rate ~10–20%).</w:t>
      </w:r>
    </w:p>
    <w:p>
      <w:pPr>
        <w:pStyle w:val="Heading2"/>
        <w:spacing w:after="120" w:before="260"/>
      </w:pPr>
      <w:r>
        <w:t xml:space="preserve">Objective 6 — Prove the business value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What it means: </w:t>
      </w:r>
      <w:r>
        <w:rPr>
          <w:sz w:val="21"/>
          <w:szCs w:val="21"/>
        </w:rPr>
        <w:t xml:space="preserve">By the end of the PoC, show numbers: failures caught early, downtime/cost avoided, and where maintenance could be optimized.</w:t>
      </w:r>
    </w:p>
    <w:p>
      <w:pPr>
        <w:spacing w:after="140"/>
      </w:pPr>
      <w:r>
        <w:rPr>
          <w:sz w:val="21"/>
          <w:szCs w:val="21"/>
        </w:rPr>
        <w:t xml:space="preserve">What we build: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Tracking for early detections, estimated avoided failures, and condition-based vs. calendar-based maintenance actions.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simple ROI/benefits calculation, even rough estimates.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stakeholder summary view feeding the Final PoC report and Benefits Realization Assessment.</w:t>
      </w:r>
    </w:p>
    <w:p>
      <w:pPr>
        <w:pStyle w:val="Heading1"/>
        <w:spacing w:after="160" w:before="320"/>
      </w:pPr>
      <w:r>
        <w:t xml:space="preserve">2. Data flow — sensors to analytics to action</w:t>
      </w:r>
    </w:p>
    <w:p>
      <w:pPr>
        <w:spacing w:after="140"/>
      </w:pPr>
      <w:r>
        <w:rPr>
          <w:sz w:val="21"/>
          <w:szCs w:val="21"/>
        </w:rPr>
        <w:t xml:space="preserve">The pipeline every screen and every objective above sits on top of: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Sensors (vibration / thermal / ultrasound) + existing systems (BMS/EPMS/DCIM/CMMS)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→ Data ingestion (time-synced, normalized into one schema)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→ Analytics engine (thresholds, trends, health scoring, cross-sensor correlation)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→ Outputs: alerts &amp; dashboard, asset health score, maintenance 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→ Field verification (technician inspects, logs outcome)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→ feeds back into the analytics engine — this loop is what proves and improves accuracy</w:t>
      </w:r>
    </w:p>
    <w:p>
      <w:pPr>
        <w:spacing w:after="200"/>
      </w:pPr>
      <w:r>
        <w:rPr>
          <w:i/>
          <w:iCs/>
          <w:color w:val="5F5E5A"/>
          <w:sz w:val="19"/>
          <w:szCs w:val="19"/>
        </w:rPr>
        <w:t xml:space="preserve">See the flow diagrams shared earlier in this chat for the visual versions of this pipeline, including the standalone cross-sensor correlation step.</w:t>
      </w:r>
    </w:p>
    <w:p>
      <w:pPr>
        <w:pStyle w:val="Heading2"/>
        <w:spacing w:after="120" w:before="260"/>
      </w:pPr>
      <w:r>
        <w:t xml:space="preserve">Why cross-sensor correlation matters</w:t>
      </w:r>
    </w:p>
    <w:p>
      <w:pPr>
        <w:spacing w:after="140"/>
      </w:pPr>
      <w:r>
        <w:rPr>
          <w:sz w:val="21"/>
          <w:szCs w:val="21"/>
        </w:rPr>
        <w:t xml:space="preserve">A single sensor crossing a threshold is a weak signal on its own. Before a failure code is confirmed, the other two sensor types are checked against the same asset over the same time window: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Vibration rising + thermal stable + ultrasound stable → treated as a lower-confidence signal.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Vibration rising + thermal rising + ultrasound rising (agreement) → confidence increases, e.g. 82% → 91%.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This is what should visibly change in the UI — a label like "confirmed by 2 of 3 sensors" — since it's the detail that proves the multi-sensor approach earns its keep over single-sensor monitoring.</w:t>
      </w:r>
    </w:p>
    <w:p>
      <w:pPr>
        <w:pStyle w:val="Heading1"/>
        <w:spacing w:after="160" w:before="320"/>
      </w:pPr>
      <w:r>
        <w:t xml:space="preserve">3. End-to-end example — CRAH-01 bearing wear</w:t>
      </w:r>
    </w:p>
    <w:p>
      <w:pPr>
        <w:spacing w:after="140"/>
      </w:pPr>
      <w:r>
        <w:rPr>
          <w:sz w:val="21"/>
          <w:szCs w:val="21"/>
        </w:rPr>
        <w:t xml:space="preserve">This is the story used to walk the client through the full workflow on one real asset.</w:t>
      </w:r>
    </w:p>
    <w:p>
      <w:pPr>
        <w:pStyle w:val="Heading2"/>
        <w:spacing w:after="120" w:before="260"/>
      </w:pPr>
      <w:r>
        <w:t xml:space="preserve">3.1 Detection phase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65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Continuous monitoring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Vibration, thermal, and ultrasound sensors stream data continuously.</w:t>
            </w:r>
          </w:p>
        </w:tc>
      </w:tr>
      <w:tr>
        <w:tc>
          <w:tcPr>
            <w:tcW w:type="dxa" w:w="300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Anomaly detected</w:t>
            </w:r>
          </w:p>
        </w:tc>
        <w:tc>
          <w:tcPr>
            <w:tcW w:type="dxa" w:w="650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Vibration trends above baseline for 16 days.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Cross-sensor correlation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Thermal and ultrasound readings checked against the same window — both confirm.</w:t>
            </w:r>
          </w:p>
        </w:tc>
      </w:tr>
      <w:tr>
        <w:tc>
          <w:tcPr>
            <w:tcW w:type="dxa" w:w="300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Failure code confirmed</w:t>
            </w:r>
          </w:p>
        </w:tc>
        <w:tc>
          <w:tcPr>
            <w:tcW w:type="dxa" w:w="650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VIB-BRG-04 (bearing wear); confidence rises from 82% to 91% with corroboration.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Health score updated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Score drops from 92 to 68.</w:t>
            </w:r>
          </w:p>
        </w:tc>
      </w:tr>
    </w:tbl>
    <w:p>
      <w:pPr>
        <w:pStyle w:val="Heading2"/>
        <w:spacing w:after="120" w:before="260"/>
      </w:pPr>
      <w:r>
        <w:t xml:space="preserve">3.2 Response and feedback phase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65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Alert generated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Pushed to the dashboard and stakeholder feed.</w:t>
            </w:r>
          </w:p>
        </w:tc>
      </w:tr>
      <w:tr>
        <w:tc>
          <w:tcPr>
            <w:tcW w:type="dxa" w:w="300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Engineering review</w:t>
            </w:r>
          </w:p>
        </w:tc>
        <w:tc>
          <w:tcPr>
            <w:tcW w:type="dxa" w:w="650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Engineer validates the alert against trend data.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Recommendation issued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"Inspect bearing within 2 weeks."</w:t>
            </w:r>
          </w:p>
        </w:tc>
      </w:tr>
      <w:tr>
        <w:tc>
          <w:tcPr>
            <w:tcW w:type="dxa" w:w="300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Work order and inspection</w:t>
            </w:r>
          </w:p>
        </w:tc>
        <w:tc>
          <w:tcPr>
            <w:tcW w:type="dxa" w:w="650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Technician inspects, logs finding in CMMS.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Outcome logged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Confirmed true positive — feeds back to tune thresholds.</w:t>
            </w:r>
          </w:p>
        </w:tc>
      </w:tr>
    </w:tbl>
    <w:p>
      <w:pPr>
        <w:pStyle w:val="Heading1"/>
        <w:spacing w:after="160" w:before="320"/>
      </w:pPr>
      <w:r>
        <w:t xml:space="preserve">4. Recommended demo screens</w:t>
      </w:r>
    </w:p>
    <w:p>
      <w:pPr>
        <w:spacing w:after="140"/>
      </w:pPr>
      <w:r>
        <w:rPr>
          <w:sz w:val="21"/>
          <w:szCs w:val="21"/>
        </w:rPr>
        <w:t xml:space="preserve">Six screens cover the full workflow above, built on one shared data model so moving between them is a filter change, not a different system. (Full field-level spec is in the companion PDF — this is the summary.)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63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Asset overview / fleet view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Every monitored asset at a glance: health score, status, last alert. The landing screen for the demo.</w:t>
            </w:r>
          </w:p>
        </w:tc>
      </w:tr>
      <w:tr>
        <w:tc>
          <w:tcPr>
            <w:tcW w:type="dxa" w:w="320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Asset detail / live monitoring</w:t>
            </w:r>
          </w:p>
        </w:tc>
        <w:tc>
          <w:tcPr>
            <w:tcW w:type="dxa" w:w="630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The deep-dive screen for one asset: sensor readouts, health score, active alert, recommendation. Where the demo spends the most time.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Trend analysis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Time-series chart per sensor proving early detection, with the alert point marked against the threshold crossing.</w:t>
            </w:r>
          </w:p>
        </w:tc>
      </w:tr>
      <w:tr>
        <w:tc>
          <w:tcPr>
            <w:tcW w:type="dxa" w:w="320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Alert &amp; failure code detail</w:t>
            </w:r>
          </w:p>
        </w:tc>
        <w:tc>
          <w:tcPr>
            <w:tcW w:type="dxa" w:w="630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What was detected, which sensors agreed, confidence score, severity, status.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Maintenance recommendation / work order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The alert turning into an actual action: recommendation, urgency, work order status, technician finding, outcome.</w:t>
            </w:r>
          </w:p>
        </w:tc>
      </w:tr>
      <w:tr>
        <w:tc>
          <w:tcPr>
            <w:tcW w:type="dxa" w:w="320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Correlation / outcome log</w:t>
            </w:r>
          </w:p>
        </w:tc>
        <w:tc>
          <w:tcPr>
            <w:tcW w:type="dxa" w:w="630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The accuracy proof screen — predicted vs. actual findings, rolling accuracy and false-positive rate against KPI targets.</w:t>
            </w:r>
          </w:p>
        </w:tc>
      </w:tr>
    </w:tbl>
    <w:p>
      <w:pPr>
        <w:pStyle w:val="Heading2"/>
        <w:spacing w:after="120" w:before="260"/>
      </w:pPr>
      <w:r>
        <w:t xml:space="preserve">KPI reference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4000"/>
      </w:tblGrid>
      <w:tr>
        <w:trPr>
          <w:tblHeader/>
        </w:trPr>
        <w:tc>
          <w:tcPr>
            <w:tcW w:type="dxa" w:w="55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40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Sensor availability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~90–100%</w:t>
            </w:r>
          </w:p>
        </w:tc>
      </w:tr>
      <w:tr>
        <w:tc>
          <w:tcPr>
            <w:tcW w:type="dxa" w:w="550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Data acquisition reliability</w:t>
            </w:r>
          </w:p>
        </w:tc>
        <w:tc>
          <w:tcPr>
            <w:tcW w:type="dxa" w:w="400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~90–100%</w:t>
            </w:r>
          </w:p>
        </w:tc>
      </w:tr>
      <w:tr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Alert accuracy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~70–80%</w:t>
            </w:r>
          </w:p>
        </w:tc>
      </w:tr>
      <w:tr>
        <w:tc>
          <w:tcPr>
            <w:tcW w:type="dxa" w:w="550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False positive rate</w:t>
            </w:r>
          </w:p>
        </w:tc>
        <w:tc>
          <w:tcPr>
            <w:tcW w:type="dxa" w:w="400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~10–20%</w:t>
            </w:r>
          </w:p>
        </w:tc>
      </w:tr>
      <w:tr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Dashboard availability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~90–100%</w:t>
            </w:r>
          </w:p>
        </w:tc>
      </w:tr>
    </w:tbl>
    <w:p>
      <w:pPr>
        <w:pStyle w:val="Heading1"/>
        <w:spacing w:after="160" w:before="320"/>
      </w:pPr>
      <w:r>
        <w:t xml:space="preserve">5. Synthetic demo data</w:t>
      </w:r>
    </w:p>
    <w:p>
      <w:pPr>
        <w:spacing w:after="140"/>
      </w:pPr>
      <w:r>
        <w:rPr>
          <w:sz w:val="21"/>
          <w:szCs w:val="21"/>
        </w:rPr>
        <w:t xml:space="preserve">30 days of synthetic sensor and workflow data was generated for three real assets, each demonstrating a different point in the workflow so the demo shows range, not just one success story. Full data lives in FSM_PoC_Synthetic_Asset_Data.xlsx (sheets: Assets, Sensor_Readings, Health_Score_History, Alerts, Recommendations_WorkOrders).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700"/>
      </w:tblGrid>
      <w:tr>
        <w:trPr>
          <w:tblHeader/>
        </w:trPr>
        <w:tc>
          <w:tcPr>
            <w:tcW w:type="dxa" w:w="26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Asset</w:t>
            </w:r>
          </w:p>
        </w:tc>
        <w:tc>
          <w:tcPr>
            <w:tcW w:type="dxa" w:w="42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7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Demo state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IAD35-CRAH-01 — CRAH Unit 01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Bearing wear: vibration, thermal, and ultrasound all trend up together over the window.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Alert raised, work order completed, outcome confirmed true positive — the full closed loop.</w:t>
            </w:r>
          </w:p>
        </w:tc>
      </w:tr>
      <w:tr>
        <w:tc>
          <w:tcPr>
            <w:tcW w:type="dxa" w:w="260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IAD35-CRAC-01 — CRAC Unit 01</w:t>
            </w:r>
          </w:p>
        </w:tc>
        <w:tc>
          <w:tcPr>
            <w:tcW w:type="dxa" w:w="420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Electrical fault: thermal and ultrasound spike sharply in the final ~10 days; vibration stays flat.</w:t>
            </w:r>
          </w:p>
        </w:tc>
        <w:tc>
          <w:tcPr>
            <w:tcW w:type="dxa" w:w="270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Alert active, under engineering review, work order dispatched but not yet closed — a mid-workflow state.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IAD35-CHIL-01 — Chiller 01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Healthy baseline: all three sensors flat with normal noise, no trend.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 alerts — shows the system isn't crying wolf on a healthy asset.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b/>
      <w:bCs/>
      <w:color w:val="0F6E5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b/>
      <w:bCs/>
      <w:color w:val="26215C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b/>
      <w:bCs/>
      <w:color w:val="44444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2026-08-20T04:18:25.360Z</dcterms:created>
  <dcterms:modified xsi:type="dcterms:W3CDTF">2026-08-20T04:18:25.391Z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