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0F2A4A"/>
          <w:sz w:val="48"/>
          <w:szCs w:val="48"/>
        </w:rPr>
        <w:t xml:space="preserve">FINQOR PLATFORM</w:t>
      </w:r>
    </w:p>
    <w:p>
      <w:pPr>
        <w:spacing w:after="200"/>
        <w:jc w:val="center"/>
      </w:pPr>
      <w:r>
        <w:rPr>
          <w:i/>
          <w:iCs/>
          <w:color w:val="D4A24C"/>
          <w:sz w:val="28"/>
          <w:szCs w:val="28"/>
        </w:rPr>
        <w:t xml:space="preserve">Accounting Layer · v1.0</w:t>
      </w:r>
    </w:p>
    <w:p>
      <w:pPr>
        <w:spacing w:after="600"/>
        <w:jc w:val="center"/>
      </w:pPr>
      <w:r>
        <w:rPr>
          <w:color w:val="555555"/>
          <w:sz w:val="26"/>
          <w:szCs w:val="26"/>
        </w:rPr>
        <w:t xml:space="preserve">Functional, Control &amp; Integration Specification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Four Modules — One Accounting Layer</w:t>
      </w:r>
    </w:p>
    <w:p>
      <w:pPr>
        <w:spacing w:after="100"/>
        <w:jc w:val="center"/>
      </w:pPr>
      <w:r>
        <w:rPr>
          <w:sz w:val="22"/>
          <w:szCs w:val="22"/>
        </w:rPr>
        <w:t xml:space="preserve">M1 Invoicing · M2 AR Collections · M3 Expense P2P · M4 AP Bills &amp; Payments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+ 12-Agent AI Layer · + Gap-Detection Engine ($1B-co rule-set)</w:t>
      </w:r>
    </w:p>
    <w:p>
      <w:pPr>
        <w:spacing w:after="80"/>
        <w:jc w:val="center"/>
      </w:pPr>
      <w:r>
        <w:rPr>
          <w:sz w:val="20"/>
          <w:szCs w:val="20"/>
        </w:rPr>
        <w:t xml:space="preserve">Frameworks: SOX 404 · COSO 2013 · ISO 27001/27701 · IFRS / Ind-AS · GDPR / DPDP</w:t>
      </w:r>
    </w:p>
    <w:p>
      <w:pPr>
        <w:spacing w:after="80"/>
        <w:jc w:val="center"/>
      </w:pPr>
      <w:r>
        <w:rPr>
          <w:sz w:val="20"/>
          <w:szCs w:val="20"/>
        </w:rPr>
        <w:t xml:space="preserve">ERP: SAP S/4HANA · Oracle Fusion · NetSuite · Microsoft Dynamics 365</w:t>
      </w:r>
    </w:p>
    <w:p>
      <w:pPr>
        <w:spacing w:after="80"/>
        <w:jc w:val="center"/>
      </w:pPr>
      <w:r>
        <w:rPr>
          <w:sz w:val="20"/>
          <w:szCs w:val="20"/>
        </w:rPr>
        <w:t xml:space="preserve">Status: Approved for Build  ·  Confidential  ·  © Finqor 2026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Executive Summary</w:t>
      </w:r>
    </w:p>
    <w:p>
      <w:pPr>
        <w:spacing w:after="120"/>
      </w:pPr>
      <w:r>
        <w:t xml:space="preserve">This document defines the functional design, control framework, AI/agent architecture, data model and ERP-integration patterns for the four transactional modules of the Finqor platform: M1 Invoicing &amp; E-Invoicing, M2 Accounts Receivable (Collections &amp; Cash Application), M3 Expense &amp; Procure-to-Pay, and M4 Accounts Payable (Bills &amp; Payments). The four modules share a single Finqor accounting layer comprising the chart of accounts, dimensions, calendar, FX, tax engine, audit trail, identity-and-access management, and evidence vault.</w:t>
      </w:r>
    </w:p>
    <w:p>
      <w:pPr>
        <w:spacing w:after="120"/>
      </w:pPr>
      <w:r>
        <w:t xml:space="preserve">The defining design principle is that every source document — whether a customer purchase order arriving over EDI, a vendor invoice forwarded by email, a corporate-card statement pulled from the issuer feed, a bank statement in CAMT.053, or a contract uploaded from a CLM — flows through a deterministic pipeline (extract → gap-detect → resolve → match → control → compile → post). The output is a balanced journal entry pushed idempotently to the connected ERP, accompanied by an immutable evidence and audit trail.</w:t>
      </w:r>
    </w:p>
    <w:p>
      <w:pPr>
        <w:pStyle w:val="Heading2"/>
        <w:spacing w:after="160" w:before="280"/>
      </w:pPr>
      <w:r>
        <w:t xml:space="preserve">1.1 Competitive Positioning</w:t>
      </w:r>
    </w:p>
    <w:p>
      <w:pPr>
        <w:spacing w:after="120"/>
      </w:pPr>
      <w:r>
        <w:t xml:space="preserve">This specification was reviewed against the leading zero-touch invoicing and AP-automation platforms in the market in 2026 — Tipalti, Stampli, BILL, Ramp, Medius, AppZen, Coupa, SAP Concur, HighRadius, Billtrust, Versapay and Esker. The comparative gaps that informed v1.0 of this design are summarised below.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Market Leader Reference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Finqor Position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AI-driven extraction (template-free, multi-format)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Tipalti, Rossum, HighRadius (claimed 95%+ STP)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Native — Extraction Agent with confidence scoring + provenance per field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3-way / 4-way line-level match with learned tolerances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Coupa, Tipalti, SAP Ariba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Native — Match Agent with tolerance learning per company × commodity × value-band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self-service portal (KYC, banking, status)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Tipalti, Stampli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Native — vendor &amp; customer portals (M3 / M2)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E-invoice clearance (IRP / SDI / ZATCA / KSeF / PEPPOL)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Tipalti (subset), Avalara, Pagero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Native via Tax Agent — multi-jurisdiction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Embedded vendor communication on invoice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Stampli (Billy the Bot)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Native — comments thread linked to evidence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Predictive cash application (95%+ STP)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HighRadius Autonomous Receivables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Native — Cash-App Agent with ML payment-date model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IFRS 9 ECL with version-pinned matrix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BlackLine, partial in HighRadius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Native — ECL Agent with controller-approved versioning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 optimisation (V-card, dynamic discount, FX netting)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Ramp, Tipalti, MineralTree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Native — Payment-Optimisation Agent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Anomaly detection (BEC, ghost vendor, splitting, duplicates)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AppZen, Stampli, Medius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Native — Anomaly Agent across all 4 modules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Autonomous exception resolution (predict approver, auto-resolve)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HighRadius (186 agents announced); Medius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Native — Approval-Predict Agent + Controls Agent + HITL gates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Multi-ERP integration with idempotent posting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Workato, Boomi, Celigo (middleware)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Native — connectors for SAP/Oracle/NetSuite/D365 with exactly-once semantics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SOX/COSO/ISO/IFRS native control framework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add-ons (LeapFrog, FloQast)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Native — 100+ controls tagged at design time, evidence auto-collected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$1B-company field-completeness gap engine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 of the leaders flag missing dims pre-post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Differentiator — Gap-Detection Agent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t xml:space="preserve">1.2 Scope of this document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Four-module architecture, with module boundaries, inter-module flows and SoD implications.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agent layer — twelve specialised agents that co-operate across modules via a shared event bus.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Gap-detection engine — completeness rule-sets calibrated for a USD 1B+ enterprise.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End-to-end transaction flow with worked example (vendor invoice → SAP S/4 posting).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Comprehensive control matrix (~100 controls) with framework tagging.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Canonical data model and field-level mapping to SAP / Oracle / NetSuite / D365.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Migration &amp; cutover playbook (Mock 1 / Mock 2 / Go-live / Hyper-care).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integration patterns, idempotency, retry, dead-letter handling.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Operational KPIs, audit-ready reports, real-time dashboards.</w:t>
      </w:r>
    </w:p>
    <w:p>
      <w:pPr>
        <w:pStyle w:val="Heading1"/>
        <w:spacing w:after="200" w:before="360"/>
      </w:pPr>
      <w:r>
        <w:t xml:space="preserve">2. Four-Module Architecture</w:t>
      </w:r>
    </w:p>
    <w:p>
      <w:pPr>
        <w:pStyle w:val="Heading2"/>
        <w:spacing w:after="160" w:before="280"/>
      </w:pPr>
      <w:r>
        <w:t xml:space="preserve">2.1 Why four modules, not two</w:t>
      </w:r>
    </w:p>
    <w:p>
      <w:pPr>
        <w:spacing w:after="120"/>
      </w:pPr>
      <w:r>
        <w:t xml:space="preserve">AR and AP are commonly bundled into two modules. In this design they are split into four because, at the scale of a USD 1B+ enterprise, the operational owners, controls and SLAs differ materially: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M1 (Invoicing) is owned by Sales / Order-Management / Tax — the question is 'what to bill, when, with what tax treatment'.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M2 (AR Collections) is owned by Treasury / Credit / Controllership — the question is 'what to collect, how, and how to apply'.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M3 (Expense / P2P) is owned by Procurement / Operations / Department heads — the question is 'what to commit, receive, and accrue'.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M4 (AP Bills &amp; Payments) is owned by AP / Treasury — the question is 'what to disburse, when, and how'.</w:t>
      </w:r>
    </w:p>
    <w:p>
      <w:pPr>
        <w:spacing w:after="120"/>
      </w:pPr>
      <w:r>
        <w:t xml:space="preserve">Combining M1+M2 or M3+M4 violates segregation of duties at the platform level: the user who creates an invoice should not be the same user who writes it off; the user who creates a bill should not be the user who releases the payment. The four-module split makes this enforceable in roles, not just in workflows.</w:t>
      </w:r>
    </w:p>
    <w:p>
      <w:pPr>
        <w:pStyle w:val="Heading2"/>
        <w:spacing w:after="160" w:before="280"/>
      </w:pPr>
      <w:r>
        <w:t xml:space="preserve">2.2 Shared Accounting Layer</w:t>
      </w:r>
    </w:p>
    <w:p>
      <w:pPr>
        <w:spacing w:after="120"/>
      </w:pPr>
      <w:r>
        <w:t xml:space="preserve">All four modules read and write to a single Finqor Accounting Layer composed of: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430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Cross-module Examples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Chart of Accounts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Single CoA per legal entity, mapped to ERP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Revenue GL (M1); ECL GL (M2); Inventory GL (M3); Cash GL (M4)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Dimensions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Cost-centre, profit-centre, segment, project, product, channel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Required on every line at posting (gap-engine enforces)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Calendar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Posting-period status (open / soft-close / closed)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Period-open check is preventive control across all four modules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FX rates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Spot, monthly, budget; daily ECB/RBI loads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Translation at receipt (M2), payment (M4); revaluation at close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 engine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GST/VAT/RCM/WHT determination + e-invoice clearance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Output tax (M1); input tax + WHT (M3)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trail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Append-only, hash-chained, 8-year retention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Every state-change in every module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IAM + SoD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Identity, role, DOA matrix, conflict ruleset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Workflow engine enforces; ERP roles are mirrored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Evidence vault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S3-equivalent, encrypted, retention-governed</w:t>
            </w:r>
          </w:p>
        </w:tc>
        <w:tc>
          <w:tcPr>
            <w:tcW w:type="dxa" w:w="4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Source documents linked to every transaction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t xml:space="preserve">2.3 Inter-module flows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M1 → M2 — every issued invoice creates an open AR item visible to collections; every credit note in M1 reduces the open item in M2; cash applied in M2 closes the open item created in M1.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M3 → M4 — every approved, matched bill in M3 becomes a payable available for the M4 payment proposal; every payment in M4 closes the open item created in M3.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M1 ↔ M3 — inter-company billing originates in one entity's M1 and lands in the other entity's M3; the IC partner flag carries through for elimination at consolidation.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four modules → CoA — every transaction posts a balanced, dimensioned journal entry to the GL of the connected ERP.</w:t>
      </w:r>
    </w:p>
    <w:p>
      <w:pPr>
        <w:pStyle w:val="Heading1"/>
        <w:spacing w:after="200" w:before="360"/>
      </w:pPr>
      <w:r>
        <w:t xml:space="preserve">3. The AI Agent Layer</w:t>
      </w:r>
    </w:p>
    <w:p>
      <w:pPr>
        <w:spacing w:after="120"/>
      </w:pPr>
      <w:r>
        <w:t xml:space="preserve">Twelve specialised agents co-operate via a shared event bus. Each agent has a behavioural contract: deterministic where possible, with explicit human-in-the-loop gates where confidence is below threshold. No agent can bypass a preventive control; agents can only block, propose or annotate.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600"/>
      </w:tblGrid>
      <w:tr>
        <w:trPr>
          <w:tblHeader/>
        </w:trP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Active in</w:t>
            </w:r>
          </w:p>
        </w:tc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Extraction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M1, M3</w:t>
            </w:r>
          </w:p>
        </w:tc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Multi-format OCR + LLM parse → canonical schema. Per-field confidence + bounding-box / XPath provenance. &lt;0.85 → user confirmation.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Master-Data Resolver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M1, M3</w:t>
            </w:r>
          </w:p>
        </w:tc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Resolves customer/vendor/item/GL/dim. Deterministic first, fuzzy fallback. &lt;0.85 → top-3 candidates to user.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Gap-Detection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M1, M3</w:t>
            </w:r>
          </w:p>
        </w:tc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Compares populated fields vs $1B-company completeness rule-set. Surfaces gaps with reason; user provides / waives / escalates.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Anomaly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M1, M2, M3, M4</w:t>
            </w:r>
          </w:p>
        </w:tc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Duplicates, BEC bank-change patterns, ghost vendor, PR/PO splitting, round-amount anomalies, weekend posting, dormant→active vendor.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Match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M3</w:t>
            </w:r>
          </w:p>
        </w:tc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3/4-way line-level match with tolerance learning. Block codes Q/P/R/V/T. Releaser ≠ poster (SoD).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Approval-Predict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M3, M4</w:t>
            </w:r>
          </w:p>
        </w:tc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Predicts next approver from DOA + history + delegation. Logs predicted-vs-actual to refine model.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M1, M3</w:t>
            </w:r>
          </w:p>
        </w:tc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Determines GST/VAT/RCM/WHT per line. Submits to e-invoice clearance (IRP/SDI/ZATCA/KSeF/PEPPOL).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Cash-Application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Matches receipts to invoices using payee, amount, reference, ML-fuzzy. ≥95% STP target. Posts FX gain/loss.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ECL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IFRS 9 simplified-approach with predicted-payment-date input. Matrix version-pinned; controller-approved.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Collections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Predicts late payment 30 days ahead; sequences dunning. Drafts customer outreach in preferred language/tone.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Payment-Optimisation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M4</w:t>
            </w:r>
          </w:p>
        </w:tc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Method routing per amount × ccy × country (RTGS/ACH/SEPA/V-card). Discount capture vs cost-of-capital.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Controls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M1, M2, M3, M4</w:t>
            </w:r>
          </w:p>
        </w:tc>
        <w:tc>
          <w:tcPr>
            <w:tcW w:type="dxa" w:w="5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Runs SoD, period-open, balance, sanctions, threshold checks at posting. Preventive failures block; detective findings log.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t xml:space="preserve">3.1 Behavioural contracts (selected)</w:t>
      </w:r>
    </w:p>
    <w:p>
      <w:pPr>
        <w:pStyle w:val="Heading3"/>
        <w:spacing w:after="120" w:before="220"/>
      </w:pPr>
      <w:r>
        <w:t xml:space="preserve">Extraction Agent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Receives: raw document (PDF, image, EDI 810/INVOIC, UBL, JSON e-invoice).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Emits: canonical fields with per-field confidence (0-1) and bounding-box or XPath provenance.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Threshold: confidence &lt; 0.85 → field flagged for human confirmation; never silently asserted as a fact.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Calculated fields (line totals, tax amounts) are recomputed by Finqor; the extracted value is shown side-by-side for variance review.</w:t>
      </w:r>
    </w:p>
    <w:p>
      <w:pPr>
        <w:pStyle w:val="Heading3"/>
        <w:spacing w:after="120" w:before="220"/>
      </w:pPr>
      <w:r>
        <w:t xml:space="preserve">Gap-Detection Agent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Reference: $1B-company completeness rule-set (20 fields for AP, 20 for AR — listed in §6).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Output: list of present, missing-critical, missing-optional fields with the reason a $1B-co would expect each.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action: provide value, waive (with reason captured to audit trail), or escalate.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Waivers above materiality require dual approval; quarterly review of waiver register.</w:t>
      </w:r>
    </w:p>
    <w:p>
      <w:pPr>
        <w:pStyle w:val="Heading3"/>
        <w:spacing w:after="120" w:before="220"/>
      </w:pPr>
      <w:r>
        <w:t xml:space="preserve">Controls Agent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Runs the full preventive-control battery at the posting frontier (SoD, period-open, balance check, sanctions, threshold, evidence linkage).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Preventive failure → block + visible reason + missing-evidence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Detective control firing → log + queue for controller's daily review.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Cannot be bypassed by other agents; only human override (gated by role) is allowed and is itself a logged event.</w:t>
      </w:r>
    </w:p>
    <w:p>
      <w:pPr>
        <w:pStyle w:val="Heading1"/>
        <w:spacing w:after="200" w:before="360"/>
      </w:pPr>
      <w:r>
        <w:t xml:space="preserve">4. The Gap-Detection Engine ($1B-company rule-set)</w:t>
      </w:r>
    </w:p>
    <w:p>
      <w:pPr>
        <w:spacing w:after="120"/>
      </w:pPr>
      <w:r>
        <w:t xml:space="preserve">The Gap-Detection Engine is Finqor's principal differentiator versus competing AP/AR-automation platforms. Where competitors silently post whatever the OCR yields (and leave dimension defaulting to ERP-level rules), Finqor checks every transaction against a curated rule-set of fields that a USD 1B+ enterprise would expect to be populated — and if a field is missing, it surfaces the gap before posting.</w:t>
      </w:r>
    </w:p>
    <w:p>
      <w:pPr>
        <w:pStyle w:val="Heading2"/>
        <w:spacing w:after="160" w:before="280"/>
      </w:pPr>
      <w:r>
        <w:t xml:space="preserve">4.1 AP completeness rule-set (Modules M3/M4)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5200"/>
      </w:tblGrid>
      <w:tr>
        <w:trPr>
          <w:tblHeader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Critical?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a $1B company needs it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(master-resolved)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E/O assertion, sanctions screening, AML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bank (master-locked)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Anti-BEC, payment routing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invoice number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Duplicate-detection key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 date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 point, ageing, period assignment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Due date / payment term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Ageing, discount-capture, cash-flow forecast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 reference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3-way match, commitment release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GRN / SES reference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3-way match, accrual reversal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Currency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FX revaluation, hedge accounting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Cost centre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Management reporting, budget vs actual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Profit centre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Segment reporting (IFRS 8 / Ind-AS 108)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Operating segment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IFRS 8 disclosure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/ WBS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costing, capex tracking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Input tax code per line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GST/VAT recoverability, tax return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WHT / TDS section per line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Statutory deduction, certificate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HSN / SAC code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 determination, e-invoice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/ MSA reference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Obligation linkage, audit trail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Beneficial-ownership confirmed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AML, sanctions, FATCA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Country of origin (goods)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Customs, FTA preferential rate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Inter-company partner flag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Consolidation elimination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Transfer-pricing arm-length flag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OECD BEPS, local-file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t xml:space="preserve">4.2 AR completeness rule-set (Modules M1/M2)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5200"/>
      </w:tblGrid>
      <w:tr>
        <w:trPr>
          <w:tblHeader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Critical?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a $1B company needs it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Customer (master-resolved)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E/O, credit-limit linkage, sanctions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Credit-limit check passed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R&amp;O, credit-exposure management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 number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Numbering integrity, statutory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 date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 point, recognition trigger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Due date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Ageing, ECL bucket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Currency + FX rate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Revaluation (IAS 21)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Sales-order reference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Order-to-cash linkage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Delivery / proof-of-delivery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Revenue recognition (IFRS 15)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Performance-obligation type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IFRS 15 — point-in-time vs over-time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Place of supply (tax)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GST/VAT jurisdiction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HSN / SAC per line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 rate, e-invoice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Cost centre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Management reporting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Profit centre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Segment (IFRS 8)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Operating segment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IFRS 8 disclosure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/ WBS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revenue tracking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reference (IFRS 15)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Obligation allocation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Inter-company customer flag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Consolidation elimination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E-invoice jurisdiction tag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IRP/SDI/ZATCA/PEPPOL clearance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INCOTERMS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Title transfer, cut-off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Deferred-revenue flag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IFRS 15 contract liability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t xml:space="preserve">4.3 User journey when a gap is detected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Gap engine surfaces missing fields in a panel attached to the transaction; each gap shows the field label, severity (critical / optional) and reason.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can: (a) provide the value inline, (b) waive with documented reason — captured to audit trail, or (c) escalate to controller.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any critical gap is unresolved, the controls-agent will block posting; the user sees exactly which gap is blocking.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Waivers above the materiality threshold or affecting tax, segment or IFRS-15 fields require dual approval (creator + controller).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waivers are aggregated in a quarterly waiver register reviewed by the controller and Internal Audit.</w:t>
      </w:r>
    </w:p>
    <w:p>
      <w:pPr>
        <w:pStyle w:val="Heading1"/>
        <w:spacing w:after="200" w:before="360"/>
      </w:pPr>
      <w:r>
        <w:t xml:space="preserve">5. End-to-End Transaction Flow</w:t>
      </w:r>
    </w:p>
    <w:p>
      <w:pPr>
        <w:spacing w:after="120"/>
      </w:pPr>
      <w:r>
        <w:t xml:space="preserve">This section walks a single AP transaction (vendor invoice STL-INV-7791 from Stellar Components Ltd against PO-2026-1184) through the full pipeline to demonstrate the cooperation between agents and controls.</w:t>
      </w:r>
    </w:p>
    <w:p>
      <w:pPr>
        <w:pStyle w:val="Heading2"/>
        <w:spacing w:after="160" w:before="280"/>
      </w:pPr>
      <w:r>
        <w:t xml:space="preserve">5.1 Step 1 — Document captured</w:t>
      </w:r>
    </w:p>
    <w:p>
      <w:pPr>
        <w:spacing w:after="120"/>
      </w:pPr>
      <w:r>
        <w:t xml:space="preserve">Channel: email-in. The PDF is hashed with SHA-256, stored in the evidence vault with retention metadata (8 years, jurisdiction-locked) and a deterministic external_id is allocated (FIN-AP-2026-0009824). The hash is added to the chain-of-custody log.</w:t>
      </w:r>
    </w:p>
    <w:p>
      <w:pPr>
        <w:pStyle w:val="Heading2"/>
        <w:spacing w:after="160" w:before="280"/>
      </w:pPr>
      <w:r>
        <w:t xml:space="preserve">5.2 Step 2 — Extraction</w:t>
      </w:r>
    </w:p>
    <w:p>
      <w:pPr>
        <w:spacing w:after="120"/>
      </w:pPr>
      <w:r>
        <w:t xml:space="preserve">Extraction Agent emits 14 canonical fields with confidence scores. 13 are above 0.85 threshold; the extracted total (78%) is below threshold and is recomputed from line items rather than trusted.</w:t>
      </w:r>
    </w:p>
    <w:p>
      <w:pPr>
        <w:pStyle w:val="Heading2"/>
        <w:spacing w:after="160" w:before="280"/>
      </w:pPr>
      <w:r>
        <w:t xml:space="preserve">5.3 Step 3 — Gap detection</w:t>
      </w:r>
    </w:p>
    <w:p>
      <w:pPr>
        <w:spacing w:after="120"/>
      </w:pPr>
      <w:r>
        <w:t xml:space="preserve">Gap engine evaluates the 20-field $1B-co rule-set. Present: 13 fields. Missing-critical: 5 (due date, cost centre, segment, contract reference, beneficial-ownership). Missing-optional: 2 (project, country of origin). User must resolve all critical before proceeding; in the demo, user provides values for due date, cost centre, segment and waives the contract-reference (one-time spot purchase, controller approves the waiver) and escalates the BO check (procurement raises with vendor).</w:t>
      </w:r>
    </w:p>
    <w:p>
      <w:pPr>
        <w:pStyle w:val="Heading2"/>
        <w:spacing w:after="160" w:before="280"/>
      </w:pPr>
      <w:r>
        <w:t xml:space="preserve">5.4 Step 4 — Master-data resolution</w:t>
      </w:r>
    </w:p>
    <w:p>
      <w:pPr>
        <w:spacing w:after="120"/>
      </w:pPr>
      <w:r>
        <w:t xml:space="preserve">Vendor matched on tax-ID (deterministic, score 1.00). PO and GRN matched on header lookup. Items matched: 1 deterministic, 2 fuzzy (scores 0.91 and 0.87 — both above threshold). GL account derived from item master. Tax code derived from place-of-supply rule.</w:t>
      </w:r>
    </w:p>
    <w:p>
      <w:pPr>
        <w:pStyle w:val="Heading2"/>
        <w:spacing w:after="160" w:before="280"/>
      </w:pPr>
      <w:r>
        <w:t xml:space="preserve">5.5 Step 5 — Three-way match</w:t>
      </w:r>
    </w:p>
    <w:p>
      <w:pPr>
        <w:spacing w:after="120"/>
      </w:pPr>
      <w:r>
        <w:t xml:space="preserve">Line-level match against PO and GRN with tolerances Q±5%, P±2%.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Line 1 (Server XR-200, 50 EA): MATCHED.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Line 2 (Storage Disk 4TB, 20 EA): BLOCKED — price variance +2.78% exceeds tolerance. Resolution: release at PO price unless contract amendment is evidenced.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Line 3 (Network Switch, 10 EA billed vs 8 EA received): BLOCKED — qty variance +25% exceeds tolerance. Resolution: release for 8 EA only; recover difference via short-payment or vendor credit.</w:t>
      </w:r>
    </w:p>
    <w:p>
      <w:pPr>
        <w:spacing w:after="120"/>
      </w:pPr>
      <w:r>
        <w:t xml:space="preserve">Both releases require releaser ≠ poster, reason code, and approver above creator level (SoD).</w:t>
      </w:r>
    </w:p>
    <w:p>
      <w:pPr>
        <w:pStyle w:val="Heading2"/>
        <w:spacing w:after="160" w:before="280"/>
      </w:pPr>
      <w:r>
        <w:t xml:space="preserve">5.6 Step 6 — Controls battery</w:t>
      </w:r>
    </w:p>
    <w:p>
      <w:pPr>
        <w:spacing w:after="120"/>
      </w:pPr>
      <w:r>
        <w:t xml:space="preserve">Controls Agent runs the preventive battery: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AP-C14 Duplicate-invoice (exact)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Hash unique; vendor+ext_no+date+amt unseen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AP-C17 Three-way match (line-level)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 line blocks released at accepted values with reason codes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AP-C20 DOA approval chain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Mgr (₹500K) → FinCtrl (₹5M) — within delegation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AP-C21 SoD: poster ≠ approver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u1 (creator) ≠ u2 (FinCtrl approver) — workflow-enforced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AP-C22 Input-tax determination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GST-IGST-18 from PoS=Maharashtra inter-state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AP-C24 WHT / TDS deduction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WARN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Goods purchase, no TDS; user waived sec 194Q (turnover threshold)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AP-C26 Σ Dr = Σ Cr (balance)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 5,848,080.00 = Cr 5,848,080.00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AP-C27 Period open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Period 2026-04 = OPEN for IN-DEL-01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AP-C34 Vendor sanctions screen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Stellar Components Ltd — OFAC/UN/EU clear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AP-C45 Evidence linkage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6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Hash matches vault record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t xml:space="preserve">5.7 Step 7 — Journal compilation</w:t>
      </w:r>
    </w:p>
    <w:p>
      <w:pPr>
        <w:spacing w:after="120"/>
      </w:pPr>
      <w:r>
        <w:t xml:space="preserve">With all preventive controls passed, the journal compiler produces: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500"/>
        <w:gridCol w:w="190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Dr/Cr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GL Account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Amount (INR)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510100 Inventory / RM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Server XR-200 (50 × 85,000)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4,250,000.00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510100 Inventory / RM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Storage Disk 4TB (20 × 18,000)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360,000.00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510100 Inventory / RM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Network Switch (8 × 42,000)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336,000.00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240100 Input GST 18%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Input IGST 18% on goods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890,280.00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210100 Trade Payables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payable (gross)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5,836,280.00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BALANCE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 5,836,280.00 = Cr 5,836,280.00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t xml:space="preserve">5.8 Step 8 — ERP post</w:t>
      </w:r>
    </w:p>
    <w:p>
      <w:pPr>
        <w:spacing w:after="120"/>
      </w:pPr>
      <w:r>
        <w:t xml:space="preserve">Connector translates the canonical payload to BAPI_ACC_DOCUMENT_POST. The external_id is the idempotency key — a retry never produces a duplicate journal. SAP returns BELNR/GJAHR (e.g. 5100002847 / FY 2026); the value is stored on the Finqor record. Sub-ledger updated; GR/IR cleared on the matched lines; evidence linked; audit trail closed; TB updated.</w:t>
      </w:r>
    </w:p>
    <w:p>
      <w:pPr>
        <w:pStyle w:val="Heading1"/>
        <w:spacing w:after="200" w:before="360"/>
      </w:pPr>
      <w:r>
        <w:t xml:space="preserve">6. Control Framework</w:t>
      </w:r>
    </w:p>
    <w:p>
      <w:pPr>
        <w:spacing w:after="120"/>
      </w:pPr>
      <w:r>
        <w:t xml:space="preserve">The platform ships with a register of approximately 100 controls (35 AR, 45 AP, 20 ITGC) tagged at design-time to SOX 404, COSO 2013, ISO 27001/27701, IFRS / Ind-AS, GDPR / DPDP and country-specific e-invoicing regimes. Controls are taxonomised by: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 — Preventive (P), Detective (D), Corrective (C).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Automation — Automated (A), IT-Dependent Manual (ITDM), Manual (M).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Frequency — per event, daily, weekly, monthly, quarterly, annually, continuous.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Assertion — Existence/Occurrence (E/O), Completeness (C), Accuracy/Valuation (A/V), Cut-off (CO), Rights &amp; Obligations (R&amp;O), Presentation &amp; Disclosure (P&amp;D).</w:t>
      </w:r>
    </w:p>
    <w:p>
      <w:pPr>
        <w:pStyle w:val="Heading2"/>
        <w:spacing w:after="160" w:before="280"/>
      </w:pPr>
      <w:r>
        <w:t xml:space="preserve">6.1 Selected high-impact AR controls (M1 + M2)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00"/>
        <w:gridCol w:w="900"/>
        <w:gridCol w:w="1100"/>
        <w:gridCol w:w="110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Assertion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AR-C01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Customer KYC + sanctions + credit-bureau before activation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P/A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E/O, R&amp;O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AR-C02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Bank/remit-to change requires dual approval + 24h cool-off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P/A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A/V, R&amp;O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AR-C04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Credit-limit and AR-block check on every SO release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P/A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R&amp;O, A/V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AR-C06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Daily exception report: delivered not invoiced &gt; 5 days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D/A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Daily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C, CO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AR-C08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IFRS 15 performance-obligation rule applied; engine version pinned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P/A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CO, A/V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AR-C09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 determination system-driven; manual override gated to tax-controller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P/A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A/V, P&amp;D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AR-C10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E-invoice IRP/SDI/ZATCA clearance before customer dispatch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P/A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P&amp;D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AR-C12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Σ Dr = Σ Cr enforced on every posting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P/A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A/V, C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AR-C14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Auto-match threshold 95%; sub-threshold reviewed by clerk ≠ poster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D/A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Daily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E/O, A/V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AR-C17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Daily AR sub-ledger to GL recon; auto-routed to controller on diff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D/A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Daily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C, A/V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AR-C21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Write-off &gt; materiality requires CFO + Audit-Committee minute reference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P/M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A/V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AR-C22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ECL matrix change requires controller approval; version pinned to run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P/A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change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A/V, P&amp;D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t xml:space="preserve">6.2 Selected high-impact AP controls (M3 + M4)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00"/>
        <w:gridCol w:w="900"/>
        <w:gridCol w:w="1100"/>
        <w:gridCol w:w="110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Assertion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AP-C01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KYC + sanctions + bank-proof + BO form before activation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P/A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E/O, R&amp;O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AP-C02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Bank-change requires dual approval + callback + 24h cool-off (anti-BEC)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P/A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E/O, A/V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AP-C06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 &gt; threshold needs DOA approval + budget-availability check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P/A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R&amp;O, A/V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AP-C11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GRN posted by warehouse role; SoD prevents requestor = receiver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P/A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E/O, C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AP-C14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 on exact (vendor, ext_no, date, amount); fuzzy duplicate warns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P/A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E/O, A/V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AP-C17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3-way match at line-level; release requires releaser ≠ poster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P/A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A/V, E/O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AP-C20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DOA-driven approval; no auto-approval; OOO substitution logged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P/A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A/V, R&amp;O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AP-C22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Input-tax determined from item-master + vendor reg; override = controller-only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P/A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A/V, P&amp;D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AP-C24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WHT engine applies section/code; certificate generated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P/A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event/Qtr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A/V, P&amp;D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AP-C26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Σ Dr = Σ Cr enforced; period-open check; poster ≠ payer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P/A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A/V, C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AP-C29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Dual-control release of bank file; signing certs rotated quarterly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P/M+A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run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E/O, A/V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AP-C30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Pre-release dup-payment check (vendor, invoice, amount, period)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P/A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run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E/O, A/V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AP-C40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GR/IR &gt; 90-day reviewed; written off or accrued with reason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D/ITDM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Monthly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C, CO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AP-C41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Auto-reversing accrual run for un-invoiced GRNs/SES at period end</w:t>
            </w:r>
          </w:p>
        </w:tc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P/A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Monthly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C, CO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t xml:space="preserve">6.3 ITGC (cross-cycle, selected)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500"/>
        <w:gridCol w:w="1300"/>
      </w:tblGrid>
      <w:tr>
        <w:trPr>
          <w:tblHeader/>
        </w:trP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ITGC-01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Access — provisioning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JML workflow integrated with HRIS; no manual user creation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event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ITGC-02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Access — review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Quarterly user-access review with risk-rated roles; sign-off retained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ITGC-04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Change management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 changes via ticketed CR; segregation between developer and deployer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event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ITGC-13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SoD ruleset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Workflow engine enforces; conflicts auto-detected on role change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Continuous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ITGC-14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trail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Append-only log; tamper-detection via hash-chain; 8-year retention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Continuous</w:t>
            </w:r>
          </w:p>
        </w:tc>
      </w:tr>
    </w:tbl>
    <w:p>
      <w:pPr>
        <w:pStyle w:val="Heading1"/>
        <w:spacing w:after="200" w:before="360"/>
      </w:pPr>
      <w:r>
        <w:t xml:space="preserve">7. ERP Integration</w:t>
      </w:r>
    </w:p>
    <w:p>
      <w:pPr>
        <w:pStyle w:val="Heading2"/>
        <w:spacing w:after="160" w:before="280"/>
      </w:pPr>
      <w:r>
        <w:t xml:space="preserve">7.1 Connector architecture</w:t>
      </w:r>
    </w:p>
    <w:p>
      <w:pPr>
        <w:spacing w:after="120"/>
      </w:pPr>
      <w:r>
        <w:t xml:space="preserve">Each ERP has a thin connector that translates the canonical Finqor payload into the ERP-native call. Connectors are versioned, side-by-side deployable, and tested in a sandbox before promotion.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S/4HANA — primary path: SAP Cloud SDK + RAP-based OData services for master data and CDS-views; BAPI_ACC_DOCUMENT_POST via SAP Cloud Connector for journal posting; IDoc INVOIC02 / DEBMAS / CREMAS as fallback. S/4 on-prem uses RFC via JCo gateway.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Oracle Fusion Cloud — REST: ERP Integration Service for createInvoice / createReceipt / createJournal. File-based (UCM + ESS) for high-volume bulk imports. SOAP available for legacy.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NetSuite — SuiteTalk REST API and SOAP (legacy). RESTlet for custom scripts. Token-Based Authentication or OAuth 2.0 with restricted role.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Microsoft Dynamics 365 F&amp;O — OData v4 (Data Management Framework) for entity-level posts; Custom Service entry points; recurring data jobs for high-volume; Azure Service Bus for events.</w:t>
      </w:r>
    </w:p>
    <w:p>
      <w:pPr>
        <w:pStyle w:val="Heading2"/>
        <w:spacing w:after="160" w:before="280"/>
      </w:pPr>
      <w:r>
        <w:t xml:space="preserve">7.2 Field-level mapping (selected)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15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Finqor canonical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SAP S/4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Oracle Fusion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NetSuite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D365 F&amp;O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ar.customer.id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KNA1-KUNNR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HZ_PARTIES + HZ_CUST_ACCOUNTS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entity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CustTable.AccountNum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ar.invoice.external_no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BKPF-XBLNR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RA_CUSTOMER_TRX.TRX_NUMBER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tranid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CustInvoiceJour.InvoiceId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ar.invoice.line.gl_account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T030 → BSEG-HKONT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AR_DISTRIBUTIONS_ALL.CCID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LedgerJournalTrans.AccountNum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ar.invoice.line.tax_code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MWSKZ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ZX_LINES.TAX_RATE_CODE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taxcode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TaxTable.TaxCode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ar.invoice.line.dim_cc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BSEG-KOSTL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GL_CODE_COMBINATIONS segment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DimensionAttributeValueCombination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ap.vendor.id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LFA1-LIFNR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AP_SUPPLIERS_ALL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VendTable.AccountNum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ap.vendor.bank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LFBK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IBY_EXTERNAL_PAYEES_ALL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bankdetails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VendBankAccount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ap.invoice.po_ref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EKKO-EBELN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PO_HEADERS_ALL.SEGMENT1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purchaseorder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PurchTable.PurchId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ap.invoice.grn_ref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MSEG-MBLNR / ESSR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RCV_TRANSACTIONS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itemreceipt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VendPackingSlipJour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ap.invoice.line.wht_code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WITH_ITEM-WT_QSCOD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AP_AWT_GROUPS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1099 schedule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TaxWithholdGroupHeading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core.legal_entity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T001-BUKRS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HR_ALL_ORGANIZATION_UNITS_F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subsidiary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DataAreaId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core.calendar.period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T009 / T009B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GL_PERIOD_STATUSES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accountingperiod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FiscalCalendarPeriod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t xml:space="preserve">7.3 Idempotency, retry, dead-letter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outbound call carries the Finqor external_id as the deterministic idempotency key. Connectors must check the ERP for an existing document before posting.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Retry policy: exponential back-off (1s, 4s, 16s, 64s, 256s) for transient errors (5xx, network timeouts). Maximum 5 attempts.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Permanent errors (4xx) routed to the exception queue with the ERP error code, message and stack-trace.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Circuit breaker per connector × LE; opens after 10 consecutive failures, half-opens after 60s.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Dead-letter queue with replay UI; replay events logged in the audit trail.</w:t>
      </w:r>
    </w:p>
    <w:p>
      <w:pPr>
        <w:pStyle w:val="Heading2"/>
        <w:spacing w:after="160" w:before="280"/>
      </w:pPr>
      <w:r>
        <w:t xml:space="preserve">7.4 Canonical payload (illustrative — AP invoice)</w:t>
      </w:r>
    </w:p>
    <w:p>
      <w:pPr>
        <w:spacing w:after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  <w:r>
        <w:rPr>
          <w:rFonts w:ascii="Consolas" w:cs="Consolas" w:eastAsia="Consolas" w:hAnsi="Consolas"/>
          <w:sz w:val="17"/>
          <w:szCs w:val="17"/>
        </w:rPr>
        <w:br/>
        <w:t xml:space="preserve">  "txn_type": "ap.invoice",</w:t>
      </w:r>
      <w:r>
        <w:rPr>
          <w:rFonts w:ascii="Consolas" w:cs="Consolas" w:eastAsia="Consolas" w:hAnsi="Consolas"/>
          <w:sz w:val="17"/>
          <w:szCs w:val="17"/>
        </w:rPr>
        <w:br/>
        <w:t xml:space="preserve">  "external_id": "FIN-AP-2026-0009824",</w:t>
      </w:r>
      <w:r>
        <w:rPr>
          <w:rFonts w:ascii="Consolas" w:cs="Consolas" w:eastAsia="Consolas" w:hAnsi="Consolas"/>
          <w:sz w:val="17"/>
          <w:szCs w:val="17"/>
        </w:rPr>
        <w:br/>
        <w:t xml:space="preserve">  "le_id": "IN-DEL-01",</w:t>
      </w:r>
      <w:r>
        <w:rPr>
          <w:rFonts w:ascii="Consolas" w:cs="Consolas" w:eastAsia="Consolas" w:hAnsi="Consolas"/>
          <w:sz w:val="17"/>
          <w:szCs w:val="17"/>
        </w:rPr>
        <w:br/>
        <w:t xml:space="preserve">  "vendor_id": "V-44128",</w:t>
      </w:r>
      <w:r>
        <w:rPr>
          <w:rFonts w:ascii="Consolas" w:cs="Consolas" w:eastAsia="Consolas" w:hAnsi="Consolas"/>
          <w:sz w:val="17"/>
          <w:szCs w:val="17"/>
        </w:rPr>
        <w:br/>
        <w:t xml:space="preserve">  "doc_no": "STL-INV-7791",</w:t>
      </w:r>
      <w:r>
        <w:rPr>
          <w:rFonts w:ascii="Consolas" w:cs="Consolas" w:eastAsia="Consolas" w:hAnsi="Consolas"/>
          <w:sz w:val="17"/>
          <w:szCs w:val="17"/>
        </w:rPr>
        <w:br/>
        <w:t xml:space="preserve">  "doc_date": "2026-04-22",</w:t>
      </w:r>
      <w:r>
        <w:rPr>
          <w:rFonts w:ascii="Consolas" w:cs="Consolas" w:eastAsia="Consolas" w:hAnsi="Consolas"/>
          <w:sz w:val="17"/>
          <w:szCs w:val="17"/>
        </w:rPr>
        <w:br/>
        <w:t xml:space="preserve">  "post_date": "2026-04-25",</w:t>
      </w:r>
      <w:r>
        <w:rPr>
          <w:rFonts w:ascii="Consolas" w:cs="Consolas" w:eastAsia="Consolas" w:hAnsi="Consolas"/>
          <w:sz w:val="17"/>
          <w:szCs w:val="17"/>
        </w:rPr>
        <w:br/>
        <w:t xml:space="preserve">  "due_date": "2026-05-22",</w:t>
      </w:r>
      <w:r>
        <w:rPr>
          <w:rFonts w:ascii="Consolas" w:cs="Consolas" w:eastAsia="Consolas" w:hAnsi="Consolas"/>
          <w:sz w:val="17"/>
          <w:szCs w:val="17"/>
        </w:rPr>
        <w:br/>
        <w:t xml:space="preserve">  "currency": "INR",</w:t>
      </w:r>
      <w:r>
        <w:rPr>
          <w:rFonts w:ascii="Consolas" w:cs="Consolas" w:eastAsia="Consolas" w:hAnsi="Consolas"/>
          <w:sz w:val="17"/>
          <w:szCs w:val="17"/>
        </w:rPr>
        <w:br/>
        <w:t xml:space="preserve">  "po_ref": "PO-2026-1184",</w:t>
      </w:r>
      <w:r>
        <w:rPr>
          <w:rFonts w:ascii="Consolas" w:cs="Consolas" w:eastAsia="Consolas" w:hAnsi="Consolas"/>
          <w:sz w:val="17"/>
          <w:szCs w:val="17"/>
        </w:rPr>
        <w:br/>
        <w:t xml:space="preserve">  "grn_ref": "GRN-2026-2204",</w:t>
      </w:r>
      <w:r>
        <w:rPr>
          <w:rFonts w:ascii="Consolas" w:cs="Consolas" w:eastAsia="Consolas" w:hAnsi="Consolas"/>
          <w:sz w:val="17"/>
          <w:szCs w:val="17"/>
        </w:rPr>
        <w:br/>
        <w:t xml:space="preserve">  "lines": [</w:t>
      </w:r>
      <w:r>
        <w:rPr>
          <w:rFonts w:ascii="Consolas" w:cs="Consolas" w:eastAsia="Consolas" w:hAnsi="Consolas"/>
          <w:sz w:val="17"/>
          <w:szCs w:val="17"/>
        </w:rPr>
        <w:br/>
        <w:t xml:space="preserve">    {"ln":1,"qty":50,"price":85000.00,"gl":"510100","cc":"C-2200","tax":"GST-IGST-18"},</w:t>
      </w:r>
      <w:r>
        <w:rPr>
          <w:rFonts w:ascii="Consolas" w:cs="Consolas" w:eastAsia="Consolas" w:hAnsi="Consolas"/>
          <w:sz w:val="17"/>
          <w:szCs w:val="17"/>
        </w:rPr>
        <w:br/>
        <w:t xml:space="preserve">    {"ln":2,"qty":20,"price":18000.00,"gl":"510100","cc":"C-2200","tax":"GST-IGST-18"},</w:t>
      </w:r>
      <w:r>
        <w:rPr>
          <w:rFonts w:ascii="Consolas" w:cs="Consolas" w:eastAsia="Consolas" w:hAnsi="Consolas"/>
          <w:sz w:val="17"/>
          <w:szCs w:val="17"/>
        </w:rPr>
        <w:br/>
        <w:t xml:space="preserve">    {"ln":3,"qty":8, "price":42000.00,"gl":"510100","cc":"C-2200","tax":"GST-IGST-18"}</w:t>
      </w:r>
      <w:r>
        <w:rPr>
          <w:rFonts w:ascii="Consolas" w:cs="Consolas" w:eastAsia="Consolas" w:hAnsi="Consolas"/>
          <w:sz w:val="17"/>
          <w:szCs w:val="17"/>
        </w:rPr>
        <w:br/>
        <w:t xml:space="preserve">  ],</w:t>
      </w:r>
      <w:r>
        <w:rPr>
          <w:rFonts w:ascii="Consolas" w:cs="Consolas" w:eastAsia="Consolas" w:hAnsi="Consolas"/>
          <w:sz w:val="17"/>
          <w:szCs w:val="17"/>
        </w:rPr>
        <w:br/>
        <w:t xml:space="preserve">  "tax": {"code":"GST-IGST-18","amount":890280.00},</w:t>
      </w:r>
      <w:r>
        <w:rPr>
          <w:rFonts w:ascii="Consolas" w:cs="Consolas" w:eastAsia="Consolas" w:hAnsi="Consolas"/>
          <w:sz w:val="17"/>
          <w:szCs w:val="17"/>
        </w:rPr>
        <w:br/>
        <w:t xml:space="preserve">  "balance": {"dr":5836280.00,"cr":5836280.00,"ok":true},</w:t>
      </w:r>
      <w:r>
        <w:rPr>
          <w:rFonts w:ascii="Consolas" w:cs="Consolas" w:eastAsia="Consolas" w:hAnsi="Consolas"/>
          <w:sz w:val="17"/>
          <w:szCs w:val="17"/>
        </w:rPr>
        <w:br/>
        <w:t xml:space="preserve">  "evidence_id": "ev_01HZ7XK2K0X8MBK..."</w:t>
      </w:r>
      <w:r>
        <w:rPr>
          <w:rFonts w:ascii="Consolas" w:cs="Consolas" w:eastAsia="Consolas" w:hAnsi="Consolas"/>
          <w:sz w:val="17"/>
          <w:szCs w:val="17"/>
        </w:rPr>
        <w:br/>
        <w:t xml:space="preserve">}</w:t>
      </w:r>
    </w:p>
    <w:p>
      <w:pPr>
        <w:pStyle w:val="Heading1"/>
        <w:spacing w:after="200" w:before="360"/>
      </w:pPr>
      <w:r>
        <w:t xml:space="preserve">8. Migration &amp; Cutover Playbook</w:t>
      </w:r>
    </w:p>
    <w:p>
      <w:pPr>
        <w:pStyle w:val="Heading2"/>
        <w:spacing w:after="160" w:before="280"/>
      </w:pPr>
      <w:r>
        <w:t xml:space="preserve">8.1 Phased approach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Phase 0 — Mobilisation: SteerCo, RACI, scope freeze, environment provisioning.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Phase 1 — Design Confirmation: workshops to confirm canonical mapping, control set, DOA, SoD per 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Phase 2 — Build: connector configuration, test scripts, role design, evidence-vault retention rules.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Phase 3 — Mock 1: open transactions only, single LE, controllers only — calibrate match tolerances and OCR confidence thresholds.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Phase 4 — Mock 2: full data load, all LEs, end-user community — execute period-close, dunning run, payment run, ECL run.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Phase 5 — Cutover: master data freeze, open-item migration, e-invoice URL switch, parallel run for one period.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Phase 6 — Hyper-care: 8 weeks of elevated support, daily standup, exception triage, SLA tracking.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Phase 7 — Optimisation: KPI baselining, automation expansion, control-rationalisation cycle.</w:t>
      </w:r>
    </w:p>
    <w:p>
      <w:pPr>
        <w:pStyle w:val="Heading2"/>
        <w:spacing w:after="160" w:before="280"/>
      </w:pPr>
      <w:r>
        <w:t xml:space="preserve">8.2 Data migration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00"/>
        <w:gridCol w:w="2960"/>
      </w:tblGrid>
      <w:tr>
        <w:trPr>
          <w:tblHeader/>
        </w:trP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Reconciliation Control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Customer master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Full extract → cleansing → load via API; deduplicate by tax-reg + name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Count + sum credit-limit reconciliation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master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Full extract → bank-account re-verification (callback) → load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Count + bank-account hash reconciliation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AR invoices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Open-item extract as of cutover; load with original due-date and ageing bucket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Total open-AR matches ERP TB to the rupee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AP invoices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Open-item extract; tagged blocked items flagged for re-match in Finqor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Total open-AP matches ERP TB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POs / GRNs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Open-quantity extract; GR/IR balances explicit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GR/IR ageing tie-out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 registers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Period-to-date extract for current period; closed periods archived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Tax-return numbers tie to extract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Bank-statement history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 13 months for cash-app training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Sample reconciliation</w:t>
            </w:r>
          </w:p>
        </w:tc>
      </w:tr>
      <w:tr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Evidence (PDFs)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Bulk migrate; hash and re-link to records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Spot-check 2% sample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t xml:space="preserve">8.3 Cutover day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Posting freeze in legacy at T-0 hour minus 2 hours.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Open-item snapshot taken; controllers sign off the snapshot trial balance before load.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Master-data delta loaded; open items loaded; bank statements re-loaded for pending receipts.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Smoke test: post 1 invoice, 1 receipt, 1 payment in each 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Go/No-go SteerCo with control owner sign-offs (AR controller, AP controller, IT owner, Tax).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Communication: all-hands email with the new portal URL, helpdesk number and exception queue link.</w:t>
      </w:r>
    </w:p>
    <w:p>
      <w:pPr>
        <w:pStyle w:val="Heading2"/>
        <w:spacing w:after="160" w:before="280"/>
      </w:pPr>
      <w:r>
        <w:t xml:space="preserve">8.4 Parallel run &amp; sign-off</w:t>
      </w:r>
    </w:p>
    <w:p>
      <w:pPr>
        <w:spacing w:after="120"/>
      </w:pPr>
      <w:r>
        <w:t xml:space="preserve">One full close cycle is run in parallel — both the legacy ERP and Finqor process the same population. Differences are categorised as (a) timing, (b) classification, (c) error. (c) blocks final go-live; (a) and (b) are tracked and burn-down to zero before the next close.</w:t>
      </w:r>
    </w:p>
    <w:p>
      <w:pPr>
        <w:pStyle w:val="Heading1"/>
        <w:spacing w:after="200" w:before="360"/>
      </w:pPr>
      <w:r>
        <w:t xml:space="preserve">9. Operational KPIs &amp; Audit Reports</w:t>
      </w:r>
    </w:p>
    <w:p>
      <w:pPr>
        <w:pStyle w:val="Heading2"/>
        <w:spacing w:after="160" w:before="280"/>
      </w:pPr>
      <w:r>
        <w:t xml:space="preserve">9.1 KPI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44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Benchmark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DSO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M1+M2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(Trade Receivables / Credit sales) × days in period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Industry-relative; trend monitored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DPO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M3+M4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(Trade Payables / Cost of revenue) × days in period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Optimised for working capital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 cycle-time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M1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 release → invoice issued (median, p90)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p90 &lt; 24h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 processing-time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M3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Capture → posted (median, p90)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p90 &lt; 48h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Touchless invoice rate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M3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Invoices with no human touch / total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&gt; 70%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First-time match rate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M3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Invoices matched without exception / total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&gt; 85%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Auto-cash application rate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Receipts auto-applied / total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&gt; 80% (best-in-class 95%)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Duplicate-payment rate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M4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Duplicates detected / total invoices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&lt; 0.05%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GR/IR &gt; 90-day balance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M3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Aged balance value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Trending to zero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ECL coverage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Provision / gross AR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Stable; justified at change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Period-close days</w:t>
            </w:r>
          </w:p>
        </w:tc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Day-1 to day-of-close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Trend down y/y; sub-ledger should not gate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60" w:before="280"/>
      </w:pPr>
      <w:r>
        <w:t xml:space="preserve">9.2 Audit-ready reports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Sub-ledger to GL reconciliation (AR, AP, GR/IR) with drill-down to the journal.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Aged-trial-balance with snapshot at any historical 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Tax registers (output, input, WHT, ISD) with downloadable evidence.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SoD conflict report with current vs target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User-access review pack (extract, sign-off, retention).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Control-test population and sample selection (random, stratified).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Evidence-vault export by transaction, by control, by period.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Gap-engine waiver register (per quarter, by category, with materiality).</w:t>
      </w:r>
    </w:p>
    <w:p>
      <w:pPr>
        <w:pStyle w:val="Heading1"/>
        <w:spacing w:after="200" w:before="360"/>
      </w:pPr>
      <w: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F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 / AP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Accounts Receivable / Accounts Payable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BAPI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Business API (SAP)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BEC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Business Email Compromise (fraud pattern)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CAMT.053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ISO 20022 bank account statement message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DOA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Delegation of Authority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ECL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Credit Loss (IFRS 9 / Ind-AS 109)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EDI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Electronic Data Interchange (810 invoice, 850 PO, 856 ASN)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GR/IR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Goods Received / Invoice Received clearing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GRN / SES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Goods Receipt Note / Service Entry Sheet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IRN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 Reference Number (Indian e-invoicing IRP)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ITGC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 General Controls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JE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Journal Entry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Legal Entity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O2C / P2P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Order-to-Cash / Procure-to-Pay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PEPPOL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Pan-European Public Procurement On-Line (UBL e-invoice network)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RCM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Reverse Charge Mechanism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SoD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Segregation of Duties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SOX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Sarbanes–Oxley Act (Section 404 ICFR)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STP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Straight-Through Processing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TBA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Token-Based Authentication (NetSuite)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TDS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Tax Deducted at Source (India)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WHT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5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Withholding Tax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8"/>
        <w:szCs w:val="18"/>
      </w:rPr>
      <w:t xml:space="preserve">    |    Confidential — © Finqor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FINQOR  ·  Accounting Layer Specification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4A24C" w:sz="14" w:space="4"/>
      </w:pBdr>
      <w:spacing w:after="200" w:before="360"/>
      <w:outlineLvl w:val="0"/>
    </w:pPr>
    <w:rPr>
      <w:rFonts w:ascii="Calibri" w:cs="Calibri" w:eastAsia="Calibri" w:hAnsi="Calibri"/>
      <w:b/>
      <w:bCs/>
      <w:color w:val="0F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0F2A4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2E598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Finqor Platform — 4-Module Specification v1.0</dc:title>
  <dc:creator>Finqor</dc:creator>
  <dc:description>Comprehensive functional, control &amp; integration specification</dc:description>
  <cp:lastModifiedBy>Un-named</cp:lastModifiedBy>
  <cp:revision>1</cp:revision>
  <dcterms:created xsi:type="dcterms:W3CDTF">2026-04-25T05:59:28.861Z</dcterms:created>
  <dcterms:modified xsi:type="dcterms:W3CDTF">2026-04-25T05:59:28.863Z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