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C24 Fixture: What It Tells You</w:t>
      </w:r>
    </w:p>
    <w:p>
      <w:pPr/>
      <w:r>
        <w:t xml:space="preserve">Creator Campaign Contribution Planner: notes from reading </w:t>
      </w:r>
      <w:r>
        <w:rPr>
          <w:rStyle w:val="CodeChar"/>
        </w:rPr>
        <w:t xml:space="preserve">fixture.json</w:t>
      </w:r>
      <w:r>
        <w:t xml:space="preserve"> and </w:t>
      </w:r>
      <w:r>
        <w:rPr>
          <w:rStyle w:val="CodeChar"/>
        </w:rPr>
        <w:t xml:space="preserve">README.txt</w:t>
      </w:r>
      <w:r>
        <w:t xml:space="preserve">.</w:t>
      </w:r>
    </w:p>
    <w:p>
      <w:pPr>
        <w:pStyle w:val="Heading2"/>
      </w:pPr>
      <w:r>
        <w:t xml:space="preserve">What is in the data</w:t>
      </w:r>
    </w:p>
    <w:p>
      <w:pPr>
        <w:pStyle w:val="ListParagraph"/>
        <w:numPr>
          <w:ilvl w:val="0"/>
          <w:numId w:val="2"/>
        </w:numPr>
      </w:pPr>
      <w:r>
        <w:rPr>
          <w:b/>
        </w:rPr>
        <w:t xml:space="preserve">6 creators</w:t>
      </w:r>
      <w:r>
        <w:t xml:space="preserve"> (CR1 to CR6), all with the same numbers: 100 orders, 20 returns, INR 1,000 AOV, 10% discount, 40% contribution, INR 20,000 fee.</w:t>
      </w:r>
    </w:p>
    <w:p>
      <w:pPr>
        <w:pStyle w:val="ListParagraph"/>
        <w:numPr>
          <w:ilvl w:val="0"/>
          <w:numId w:val="2"/>
        </w:numPr>
      </w:pPr>
      <w:r>
        <w:rPr>
          <w:b/>
        </w:rPr>
        <w:t xml:space="preserve">Only two things differ:</w:t>
      </w:r>
      <w:r>
        <w:t xml:space="preserve"> the incremental share (0.5 or 0.8) and the excluded flag.</w:t>
      </w:r>
    </w:p>
    <w:p>
      <w:pPr>
        <w:pStyle w:val="ListParagraph"/>
        <w:numPr>
          <w:ilvl w:val="0"/>
          <w:numId w:val="2"/>
        </w:numPr>
      </w:pPr>
      <w:r>
        <w:rPr>
          <w:b/>
        </w:rPr>
        <w:t xml:space="preserve">Budget:</w:t>
      </w:r>
      <w:r>
        <w:t xml:space="preserve"> INR 25,00,000 (25 lakh).</w:t>
      </w:r>
    </w:p>
    <w:p>
      <w:pPr>
        <w:pStyle w:val="ListParagraph"/>
        <w:numPr>
          <w:ilvl w:val="0"/>
          <w:numId w:val="2"/>
        </w:numPr>
      </w:pPr>
      <w:r>
        <w:rPr>
          <w:b/>
        </w:rPr>
        <w:t xml:space="preserve">Worked check:</w:t>
      </w:r>
      <w:r>
        <w:t xml:space="preserve"> INR 8,800.</w:t>
      </w:r>
    </w:p>
    <w:p>
      <w:pPr>
        <w:pStyle w:val="ListParagraph"/>
        <w:numPr>
          <w:ilvl w:val="0"/>
          <w:numId w:val="2"/>
        </w:numPr>
      </w:pPr>
      <w:r>
        <w:t xml:space="preserve">Everything is marked synthetic.</w:t>
      </w:r>
    </w:p>
    <w:p>
      <w:pPr>
        <w:pStyle w:val="Heading2"/>
      </w:pPr>
      <w:r>
        <w:t xml:space="preserve">Questions now answered</w:t>
      </w:r>
    </w:p>
    <w:tbl>
      <w:tblPr>
        <w:tblStyle w:val="TableGrid"/>
        <w:tblW w:w="0" w:type="auto"/>
        <w:tblLayout w:type="fixed"/>
        <w:tblLook w:val="04A0" w:firstRow="1" w:lastRow="0" w:firstColumn="0" w:lastColumn="0" w:noHBand="0" w:noVBand="1"/>
      </w:tblPr>
      <w:tblGrid>
        <w:gridCol w:w="4440"/>
        <w:gridCol w:w="4920"/>
      </w:tblGrid>
      <w:tr>
        <w:trPr>
          <w:tblHeader/>
        </w:trPr>
        <w:tc>
          <w:tcPr>
            <w:tcW w:w="4440" w:type="dxa"/>
            <w:shd w:val="clear" w:color="auto" w:fill="F2F2F2"/>
          </w:tcPr>
          <w:p>
            <w:pPr/>
            <w:r>
              <w:t xml:space="preserve">Earlier question</w:t>
            </w:r>
          </w:p>
        </w:tc>
        <w:tc>
          <w:tcPr>
            <w:tcW w:w="4920" w:type="dxa"/>
            <w:shd w:val="clear" w:color="auto" w:fill="F2F2F2"/>
          </w:tcPr>
          <w:p>
            <w:pPr/>
            <w:r>
              <w:t xml:space="preserve">Answer from the files</w:t>
            </w:r>
          </w:p>
        </w:tc>
      </w:tr>
      <w:tr>
        <w:tc>
          <w:tcPr>
            <w:tcW w:w="4440" w:type="dxa"/>
          </w:tcPr>
          <w:p>
            <w:pPr/>
            <w:r>
              <w:t xml:space="preserve">Are fulfillment and return costs inside the 40%?</w:t>
            </w:r>
          </w:p>
        </w:tc>
        <w:tc>
          <w:tcPr>
            <w:tcW w:w="4920" w:type="dxa"/>
          </w:tcPr>
          <w:p>
            <w:pPr/>
            <w:r>
              <w:t xml:space="preserve">The notes say the 40% already includes variable product and delivery costs, before the creator fee. Don't subtract them again.</w:t>
            </w:r>
          </w:p>
        </w:tc>
      </w:tr>
      <w:tr>
        <w:tc>
          <w:tcPr>
            <w:tcW w:w="4440" w:type="dxa"/>
          </w:tcPr>
          <w:p>
            <w:pPr/>
            <w:r>
              <w:t xml:space="preserve">Does the INR 8,800 include incrementality?</w:t>
            </w:r>
          </w:p>
        </w:tc>
        <w:tc>
          <w:tcPr>
            <w:tcW w:w="4920" w:type="dxa"/>
          </w:tcPr>
          <w:p>
            <w:pPr/>
            <w:r>
              <w:t xml:space="preserve">No. It is the 100% incremental case. The fixture's own assumptions give different results (below).</w:t>
            </w:r>
          </w:p>
        </w:tc>
      </w:tr>
    </w:tbl>
    <w:p>
      <w:pPr>
        <w:pStyle w:val="Heading2"/>
      </w:pPr>
      <w:r>
        <w:t xml:space="preserve">What your code should produce</w:t>
      </w:r>
    </w:p>
    <w:p>
      <w:pPr/>
      <w:r>
        <w:t xml:space="preserve">Retained sales are INR 72,000 for every creator, and pre-fee contribution is INR 28,800.</w:t>
      </w:r>
    </w:p>
    <w:tbl>
      <w:tblPr>
        <w:tblStyle w:val="TableGrid"/>
        <w:tblW w:w="0" w:type="auto"/>
        <w:tblLayout w:type="fixed"/>
        <w:tblLook w:val="04A0" w:firstRow="1" w:lastRow="0" w:firstColumn="0" w:lastColumn="0" w:noHBand="0" w:noVBand="1"/>
      </w:tblPr>
      <w:tblGrid>
        <w:gridCol w:w="1241"/>
        <w:gridCol w:w="2643"/>
        <w:gridCol w:w="3785"/>
        <w:gridCol w:w="1688"/>
      </w:tblGrid>
      <w:tr>
        <w:trPr>
          <w:tblHeader/>
        </w:trPr>
        <w:tc>
          <w:tcPr>
            <w:tcW w:w="1241" w:type="dxa"/>
            <w:shd w:val="clear" w:color="auto" w:fill="F2F2F2"/>
          </w:tcPr>
          <w:p>
            <w:pPr/>
            <w:r>
              <w:t xml:space="preserve">Creator</w:t>
            </w:r>
          </w:p>
        </w:tc>
        <w:tc>
          <w:tcPr>
            <w:tcW w:w="2643" w:type="dxa"/>
            <w:shd w:val="clear" w:color="auto" w:fill="F2F2F2"/>
          </w:tcPr>
          <w:p>
            <w:pPr/>
            <w:r>
              <w:t xml:space="preserve">Incremental share</w:t>
            </w:r>
          </w:p>
        </w:tc>
        <w:tc>
          <w:tcPr>
            <w:tcW w:w="3785" w:type="dxa"/>
            <w:shd w:val="clear" w:color="auto" w:fill="F2F2F2"/>
          </w:tcPr>
          <w:p>
            <w:pPr/>
            <w:r>
              <w:t xml:space="preserve">Contribution after fee</w:t>
            </w:r>
          </w:p>
        </w:tc>
        <w:tc>
          <w:tcPr>
            <w:tcW w:w="1688" w:type="dxa"/>
            <w:shd w:val="clear" w:color="auto" w:fill="F2F2F2"/>
          </w:tcPr>
          <w:p>
            <w:pPr/>
            <w:r>
              <w:t xml:space="preserve">Decision</w:t>
            </w:r>
          </w:p>
        </w:tc>
      </w:tr>
      <w:tr>
        <w:tc>
          <w:tcPr>
            <w:tcW w:w="1241" w:type="dxa"/>
          </w:tcPr>
          <w:p>
            <w:pPr/>
            <w:r>
              <w:t xml:space="preserve">CR1</w:t>
            </w:r>
          </w:p>
        </w:tc>
        <w:tc>
          <w:tcPr>
            <w:tcW w:w="2643" w:type="dxa"/>
          </w:tcPr>
          <w:p>
            <w:pPr/>
            <w:r>
              <w:t xml:space="preserve">0.5</w:t>
            </w:r>
          </w:p>
        </w:tc>
        <w:tc>
          <w:tcPr>
            <w:tcW w:w="3785" w:type="dxa"/>
          </w:tcPr>
          <w:p>
            <w:pPr/>
            <w:r>
              <w:t xml:space="preserve">14,400 − 20,000 = </w:t>
            </w:r>
            <w:r>
              <w:rPr>
                <w:b/>
              </w:rPr>
              <w:t xml:space="preserve">−5,600</w:t>
            </w:r>
          </w:p>
        </w:tc>
        <w:tc>
          <w:tcPr>
            <w:tcW w:w="1688" w:type="dxa"/>
          </w:tcPr>
          <w:p>
            <w:pPr/>
            <w:r>
              <w:t xml:space="preserve">Don't fund</w:t>
            </w:r>
          </w:p>
        </w:tc>
      </w:tr>
      <w:tr>
        <w:tc>
          <w:tcPr>
            <w:tcW w:w="1241" w:type="dxa"/>
          </w:tcPr>
          <w:p>
            <w:pPr/>
            <w:r>
              <w:t xml:space="preserve">CR2</w:t>
            </w:r>
          </w:p>
        </w:tc>
        <w:tc>
          <w:tcPr>
            <w:tcW w:w="2643" w:type="dxa"/>
          </w:tcPr>
          <w:p>
            <w:pPr/>
            <w:r>
              <w:t xml:space="preserve">0.8</w:t>
            </w:r>
          </w:p>
        </w:tc>
        <w:tc>
          <w:tcPr>
            <w:tcW w:w="3785" w:type="dxa"/>
          </w:tcPr>
          <w:p>
            <w:pPr/>
            <w:r>
              <w:t xml:space="preserve">23,040 − 20,000 = </w:t>
            </w:r>
            <w:r>
              <w:rPr>
                <w:b/>
              </w:rPr>
              <w:t xml:space="preserve">+3,040</w:t>
            </w:r>
          </w:p>
        </w:tc>
        <w:tc>
          <w:tcPr>
            <w:tcW w:w="1688" w:type="dxa"/>
          </w:tcPr>
          <w:p>
            <w:pPr/>
            <w:r>
              <w:t xml:space="preserve">Fund</w:t>
            </w:r>
          </w:p>
        </w:tc>
      </w:tr>
      <w:tr>
        <w:tc>
          <w:tcPr>
            <w:tcW w:w="1241" w:type="dxa"/>
          </w:tcPr>
          <w:p>
            <w:pPr/>
            <w:r>
              <w:t xml:space="preserve">CR3</w:t>
            </w:r>
          </w:p>
        </w:tc>
        <w:tc>
          <w:tcPr>
            <w:tcW w:w="2643" w:type="dxa"/>
          </w:tcPr>
          <w:p>
            <w:pPr/>
            <w:r>
              <w:t xml:space="preserve">0.5</w:t>
            </w:r>
          </w:p>
        </w:tc>
        <w:tc>
          <w:tcPr>
            <w:tcW w:w="3785" w:type="dxa"/>
          </w:tcPr>
          <w:p>
            <w:pPr/>
            <w:r>
              <w:rPr>
                <w:b/>
              </w:rPr>
              <w:t xml:space="preserve">−5,600</w:t>
            </w:r>
          </w:p>
        </w:tc>
        <w:tc>
          <w:tcPr>
            <w:tcW w:w="1688" w:type="dxa"/>
          </w:tcPr>
          <w:p>
            <w:pPr/>
            <w:r>
              <w:t xml:space="preserve">Don't fund</w:t>
            </w:r>
          </w:p>
        </w:tc>
      </w:tr>
      <w:tr>
        <w:tc>
          <w:tcPr>
            <w:tcW w:w="1241" w:type="dxa"/>
          </w:tcPr>
          <w:p>
            <w:pPr/>
            <w:r>
              <w:t xml:space="preserve">CR4</w:t>
            </w:r>
          </w:p>
        </w:tc>
        <w:tc>
          <w:tcPr>
            <w:tcW w:w="2643" w:type="dxa"/>
          </w:tcPr>
          <w:p>
            <w:pPr/>
            <w:r>
              <w:t xml:space="preserve">0.8</w:t>
            </w:r>
          </w:p>
        </w:tc>
        <w:tc>
          <w:tcPr>
            <w:tcW w:w="3785" w:type="dxa"/>
          </w:tcPr>
          <w:p>
            <w:pPr/>
            <w:r>
              <w:rPr>
                <w:b/>
              </w:rPr>
              <w:t xml:space="preserve">+3,040</w:t>
            </w:r>
          </w:p>
        </w:tc>
        <w:tc>
          <w:tcPr>
            <w:tcW w:w="1688" w:type="dxa"/>
          </w:tcPr>
          <w:p>
            <w:pPr/>
            <w:r>
              <w:t xml:space="preserve">Fund</w:t>
            </w:r>
          </w:p>
        </w:tc>
      </w:tr>
      <w:tr>
        <w:tc>
          <w:tcPr>
            <w:tcW w:w="1241" w:type="dxa"/>
          </w:tcPr>
          <w:p>
            <w:pPr/>
            <w:r>
              <w:t xml:space="preserve">CR5</w:t>
            </w:r>
          </w:p>
        </w:tc>
        <w:tc>
          <w:tcPr>
            <w:tcW w:w="2643" w:type="dxa"/>
          </w:tcPr>
          <w:p>
            <w:pPr/>
            <w:r>
              <w:t xml:space="preserve">0.5</w:t>
            </w:r>
          </w:p>
        </w:tc>
        <w:tc>
          <w:tcPr>
            <w:tcW w:w="3785" w:type="dxa"/>
          </w:tcPr>
          <w:p>
            <w:pPr/>
            <w:r>
              <w:t xml:space="preserve">Excluded</w:t>
            </w:r>
          </w:p>
        </w:tc>
        <w:tc>
          <w:tcPr>
            <w:tcW w:w="1688" w:type="dxa"/>
          </w:tcPr>
          <w:p>
            <w:pPr/>
            <w:r>
              <w:t xml:space="preserve">Never fund</w:t>
            </w:r>
          </w:p>
        </w:tc>
      </w:tr>
      <w:tr>
        <w:tc>
          <w:tcPr>
            <w:tcW w:w="1241" w:type="dxa"/>
          </w:tcPr>
          <w:p>
            <w:pPr/>
            <w:r>
              <w:t xml:space="preserve">CR6</w:t>
            </w:r>
          </w:p>
        </w:tc>
        <w:tc>
          <w:tcPr>
            <w:tcW w:w="2643" w:type="dxa"/>
          </w:tcPr>
          <w:p>
            <w:pPr/>
            <w:r>
              <w:t xml:space="preserve">0.8</w:t>
            </w:r>
          </w:p>
        </w:tc>
        <w:tc>
          <w:tcPr>
            <w:tcW w:w="3785" w:type="dxa"/>
          </w:tcPr>
          <w:p>
            <w:pPr/>
            <w:r>
              <w:rPr>
                <w:b/>
              </w:rPr>
              <w:t xml:space="preserve">+3,040</w:t>
            </w:r>
          </w:p>
        </w:tc>
        <w:tc>
          <w:tcPr>
            <w:tcW w:w="1688" w:type="dxa"/>
          </w:tcPr>
          <w:p>
            <w:pPr/>
            <w:r>
              <w:t xml:space="preserve">Fund</w:t>
            </w:r>
          </w:p>
        </w:tc>
      </w:tr>
    </w:tbl>
    <w:p>
      <w:pPr>
        <w:pStyle w:val="ListParagraph"/>
        <w:numPr>
          <w:ilvl w:val="0"/>
          <w:numId w:val="3"/>
        </w:numPr>
      </w:pPr>
      <w:r>
        <w:rPr>
          <w:b/>
        </w:rPr>
        <w:t xml:space="preserve">Break-even incremental share</w:t>
      </w:r>
      <w:r>
        <w:t xml:space="preserve"> is 20,000 ÷ 28,800, about </w:t>
      </w:r>
      <w:r>
        <w:rPr>
          <w:b/>
        </w:rPr>
        <w:t xml:space="preserve">69.4%</w:t>
      </w:r>
      <w:r>
        <w:t xml:space="preserve">. This is why 0.5 loses and 0.8 wins.</w:t>
      </w:r>
    </w:p>
    <w:p>
      <w:pPr>
        <w:pStyle w:val="ListParagraph"/>
        <w:numPr>
          <w:ilvl w:val="0"/>
          <w:numId w:val="3"/>
        </w:numPr>
      </w:pPr>
      <w:r>
        <w:rPr>
          <w:b/>
        </w:rPr>
        <w:t xml:space="preserve">Reversal demo (5-point check):</w:t>
      </w:r>
      <w:r>
        <w:t xml:space="preserve"> drag CR2's share from 0.8 down to 0.6, or raise returns, and it flips to a loss. Raising CR1's share to 0.8 flips it to a profit.</w:t>
      </w:r>
    </w:p>
    <w:p>
      <w:pPr>
        <w:pStyle w:val="ListParagraph"/>
        <w:numPr>
          <w:ilvl w:val="0"/>
          <w:numId w:val="3"/>
        </w:numPr>
      </w:pPr>
      <w:r>
        <w:rPr>
          <w:b/>
        </w:rPr>
        <w:t xml:space="preserve">Unit tests:</w:t>
      </w:r>
      <w:r>
        <w:t xml:space="preserve"> include 72,000 retained and 8,800 at share = 1.0. Also test +3,040 and −5,600.</w:t>
      </w:r>
    </w:p>
    <w:p>
      <w:pPr>
        <w:pStyle w:val="Heading2"/>
      </w:pPr>
      <w:r>
        <w:t xml:space="preserve">Traps in the fixture</w:t>
      </w:r>
    </w:p>
    <w:p>
      <w:pPr>
        <w:pStyle w:val="ListParagraph"/>
        <w:numPr>
          <w:ilvl w:val="0"/>
          <w:numId w:val="4"/>
        </w:numPr>
      </w:pPr>
      <w:r>
        <w:rPr>
          <w:b/>
        </w:rPr>
        <w:t xml:space="preserve">Units don't match.</w:t>
      </w:r>
      <w:r>
        <w:t xml:space="preserve"> </w:t>
      </w:r>
      <w:r>
        <w:rPr>
          <w:rStyle w:val="CodeChar"/>
        </w:rPr>
        <w:t xml:space="preserve">_pct</w:t>
      </w:r>
      <w:r>
        <w:t xml:space="preserve"> fields use 0 to 100 (10 means 10%), but </w:t>
      </w:r>
      <w:r>
        <w:rPr>
          <w:rStyle w:val="CodeChar"/>
        </w:rPr>
        <w:t xml:space="preserve">incremental_share_assumption</w:t>
      </w:r>
      <w:r>
        <w:t xml:space="preserve"> is 0 to 1. Convert carefully.</w:t>
      </w:r>
    </w:p>
    <w:p>
      <w:pPr>
        <w:pStyle w:val="ListParagraph"/>
        <w:numPr>
          <w:ilvl w:val="0"/>
          <w:numId w:val="4"/>
        </w:numPr>
      </w:pPr>
      <w:r>
        <w:rPr>
          <w:rStyle w:val="CodeChar"/>
          <w:b/>
        </w:rPr>
        <w:t xml:space="preserve">null</w:t>
      </w:r>
      <w:r>
        <w:rPr>
          <w:b/>
        </w:rPr>
        <w:t xml:space="preserve"> means unknown, never zero.</w:t>
      </w:r>
      <w:r>
        <w:t xml:space="preserve"> The validator must flag nulls and must not treat them as 0. The data has none today, but the rule is stated, so test it.</w:t>
      </w:r>
    </w:p>
    <w:p>
      <w:pPr>
        <w:pStyle w:val="ListParagraph"/>
        <w:numPr>
          <w:ilvl w:val="0"/>
          <w:numId w:val="4"/>
        </w:numPr>
      </w:pPr>
      <w:r>
        <w:rPr>
          <w:b/>
        </w:rPr>
        <w:t xml:space="preserve">No separate roster.</w:t>
      </w:r>
      <w:r>
        <w:t xml:space="preserve"> There is only a </w:t>
      </w:r>
      <w:r>
        <w:rPr>
          <w:rStyle w:val="CodeChar"/>
        </w:rPr>
        <w:t xml:space="preserve">campaigns</w:t>
      </w:r>
      <w:r>
        <w:t xml:space="preserve"> list keyed by </w:t>
      </w:r>
      <w:r>
        <w:rPr>
          <w:rStyle w:val="CodeChar"/>
        </w:rPr>
        <w:t xml:space="preserve">creator_id</w:t>
      </w:r>
      <w:r>
        <w:t xml:space="preserve">, with no names or roster table. "Join campaign history and roster" is therefore not directly possible. Don't invent a roster. Either treat the </w:t>
      </w:r>
      <w:r>
        <w:rPr>
          <w:rStyle w:val="CodeChar"/>
        </w:rPr>
        <w:t xml:space="preserve">excluded</w:t>
      </w:r>
      <w:r>
        <w:t xml:space="preserve"> flag as the roster information, or tell the judges the roster is a gap. The README also says not to merge this with the old MBA workbook without explicit mapping.</w:t>
      </w:r>
    </w:p>
    <w:p>
      <w:pPr>
        <w:pStyle w:val="ListParagraph"/>
        <w:numPr>
          <w:ilvl w:val="0"/>
          <w:numId w:val="4"/>
        </w:numPr>
      </w:pPr>
      <w:r>
        <w:rPr>
          <w:b/>
        </w:rPr>
        <w:t xml:space="preserve">The budget barely matters here.</w:t>
      </w:r>
      <w:r>
        <w:t xml:space="preserve"> Five eligible creators cost INR 1,00,000 in fees, far below INR 25 lakh. The cap can't bind on fees alone, so "allocation" is undefined. Don't invent an ad-spend formula. Show total fees against the cap, enforce the cap in code anyway, and test it by lowering the budget (for example to INR 50,000, so only two creators fit).</w:t>
      </w:r>
    </w:p>
    <w:p>
      <w:pPr>
        <w:pStyle w:val="ListParagraph"/>
        <w:numPr>
          <w:ilvl w:val="0"/>
          <w:numId w:val="4"/>
        </w:numPr>
      </w:pPr>
      <w:r>
        <w:rPr>
          <w:b/>
        </w:rPr>
        <w:t xml:space="preserve">Some edge cases have no data.</w:t>
      </w:r>
      <w:r>
        <w:t xml:space="preserve"> There is no safety-review field (only </w:t>
      </w:r>
      <w:r>
        <w:rPr>
          <w:rStyle w:val="CodeChar"/>
        </w:rPr>
        <w:t xml:space="preserve">excluded</w:t>
      </w:r>
      <w:r>
        <w:t xml:space="preserve">), no repeat-audience field, no overlap field and no fee above the budget. Build handling and tests for these with injected test records, and label them as such. Show the "overlapping attribution" note as a fixed disclosure on screen.</w:t>
      </w:r>
    </w:p>
    <w:p>
      <w:pPr>
        <w:pStyle w:val="Heading2"/>
      </w:pPr>
      <w:r>
        <w:t xml:space="preserve">What to say as fact and what as assumption</w:t>
      </w:r>
    </w:p>
    <w:p>
      <w:pPr>
        <w:pStyle w:val="ListParagraph"/>
        <w:numPr>
          <w:ilvl w:val="0"/>
          <w:numId w:val="5"/>
        </w:numPr>
      </w:pPr>
      <w:r>
        <w:rPr>
          <w:b/>
        </w:rPr>
        <w:t xml:space="preserve">Observed (synthetic):</w:t>
      </w:r>
      <w:r>
        <w:t xml:space="preserve"> orders, returns, AOV, discount, fee, excluded flag.</w:t>
      </w:r>
    </w:p>
    <w:p>
      <w:pPr>
        <w:pStyle w:val="ListParagraph"/>
        <w:numPr>
          <w:ilvl w:val="0"/>
          <w:numId w:val="5"/>
        </w:numPr>
      </w:pPr>
      <w:r>
        <w:rPr>
          <w:b/>
        </w:rPr>
        <w:t xml:space="preserve">Assumed:</w:t>
      </w:r>
      <w:r>
        <w:t xml:space="preserve"> incremental share, and the 40% contribution.</w:t>
      </w:r>
    </w:p>
    <w:p>
      <w:pPr>
        <w:pStyle w:val="ListParagraph"/>
        <w:numPr>
          <w:ilvl w:val="0"/>
          <w:numId w:val="5"/>
        </w:numPr>
      </w:pPr>
      <w:r>
        <w:rPr>
          <w:b/>
        </w:rPr>
        <w:t xml:space="preserve">Not claimed:</w:t>
      </w:r>
      <w:r>
        <w:t xml:space="preserve"> demand, willingness to pay and real performance, since the fixture itself says these are unproven.</w:t>
      </w:r>
    </w:p>
    <w:p>
      <w:pPr>
        <w:pStyle w:val="Heading2"/>
      </w:pPr>
      <w:r>
        <w:t xml:space="preserve">Suggested next step</w:t>
      </w:r>
    </w:p>
    <w:p>
      <w:pPr/>
      <w:r>
        <w:t xml:space="preserve">Write the engine, validator, allocator and tests against these exact field names. Decide the language or framework first (for example React, or plain HTML with JavaScript).</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1"/>
    <w:lvlOverride w:ilvl="0">
      <w:startOverride w:val="1"/>
    </w:lvlOverride>
  </w:num>
  <w:num w:numId="5">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C24 Fixture What It Tells You</dc:title>
  <dc:description>Claude Docs node/3bc5d913-cac7@6 docx-w7</dc:description>
  <cp:revision>6</cp:revision>
</cp:coreProperties>
</file>