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9B7F1">
      <w:pPr>
        <w:pStyle w:val="8"/>
        <w:rPr>
          <w:rFonts w:ascii="Aptos" w:hAnsi="Aptos"/>
          <w:lang w:val="en-IN"/>
        </w:rPr>
      </w:pPr>
      <w:bookmarkStart w:id="0" w:name="_Toc225330706"/>
      <w:r>
        <w:rPr>
          <w:rFonts w:ascii="Aptos" w:hAnsi="Aptos"/>
          <w:lang w:val="en-IN"/>
        </w:rPr>
        <w:t>Detailed approach</w:t>
      </w:r>
      <w:bookmarkEnd w:id="0"/>
    </w:p>
    <w:p w14:paraId="57344072">
      <w:pPr>
        <w:pStyle w:val="3"/>
        <w:numPr>
          <w:ilvl w:val="0"/>
          <w:numId w:val="0"/>
        </w:numPr>
        <w:rPr>
          <w:rFonts w:ascii="Aptos" w:hAnsi="Aptos"/>
        </w:rPr>
      </w:pPr>
      <w:bookmarkStart w:id="1" w:name="_Toc225330707"/>
      <w:bookmarkStart w:id="2" w:name="_Toc225258759"/>
      <w:bookmarkStart w:id="3" w:name="_Toc223696051"/>
      <w:r>
        <w:rPr>
          <w:rFonts w:ascii="Aptos" w:hAnsi="Aptos"/>
        </w:rPr>
        <w:t>Collecting beneficiary details</w:t>
      </w:r>
      <w:bookmarkEnd w:id="1"/>
      <w:bookmarkEnd w:id="2"/>
    </w:p>
    <w:p w14:paraId="0A992CDC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This change defines the mechanism for creation, maintenance, and validation of DBT beneficiary eligibility data required for CBDC</w:t>
      </w:r>
      <w:r>
        <w:rPr>
          <w:rFonts w:ascii="Aptos" w:hAnsi="Aptos"/>
          <w:sz w:val="21"/>
          <w:szCs w:val="21"/>
        </w:rPr>
        <w:noBreakHyphen/>
      </w:r>
      <w:r>
        <w:rPr>
          <w:rFonts w:ascii="Aptos" w:hAnsi="Aptos"/>
          <w:sz w:val="21"/>
          <w:szCs w:val="21"/>
        </w:rPr>
        <w:t xml:space="preserve">based schemes. </w:t>
      </w:r>
    </w:p>
    <w:p w14:paraId="315AA66D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This component enables the Government to centrally manage beneficiary records while allowing Banks to perform real</w:t>
      </w:r>
      <w:r>
        <w:rPr>
          <w:rFonts w:ascii="Aptos" w:hAnsi="Aptos"/>
          <w:sz w:val="21"/>
          <w:szCs w:val="21"/>
        </w:rPr>
        <w:noBreakHyphen/>
      </w:r>
      <w:r>
        <w:rPr>
          <w:rFonts w:ascii="Aptos" w:hAnsi="Aptos"/>
          <w:sz w:val="21"/>
          <w:szCs w:val="21"/>
        </w:rPr>
        <w:t>time eligibility checks through NPCI’s Unified Layer.</w:t>
      </w:r>
    </w:p>
    <w:p w14:paraId="7DAF6768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Unified layer acts as the system of record for beneficiary eligibility information.</w:t>
      </w:r>
    </w:p>
    <w:p w14:paraId="4D1EE961">
      <w:pPr>
        <w:pStyle w:val="4"/>
        <w:numPr>
          <w:ilvl w:val="0"/>
          <w:numId w:val="0"/>
        </w:numPr>
        <w:rPr>
          <w:rFonts w:ascii="Aptos" w:hAnsi="Aptos"/>
        </w:rPr>
      </w:pPr>
      <w:bookmarkStart w:id="4" w:name="_Toc225258760"/>
      <w:bookmarkStart w:id="5" w:name="_Toc225330708"/>
      <w:r>
        <w:rPr>
          <w:rFonts w:ascii="Aptos" w:hAnsi="Aptos"/>
        </w:rPr>
        <w:t>Government changes</w:t>
      </w:r>
      <w:bookmarkEnd w:id="4"/>
      <w:bookmarkEnd w:id="5"/>
      <w:r>
        <w:rPr>
          <w:rFonts w:ascii="Aptos" w:hAnsi="Aptos"/>
        </w:rPr>
        <w:t xml:space="preserve"> </w:t>
      </w:r>
    </w:p>
    <w:p w14:paraId="35EC1DF5">
      <w:pPr>
        <w:spacing w:line="300" w:lineRule="atLeast"/>
        <w:rPr>
          <w:rFonts w:ascii="Aptos" w:hAnsi="Aptos" w:eastAsia="Times New Roman" w:cstheme="minorHAnsi"/>
          <w:lang w:eastAsia="en-IN"/>
        </w:rPr>
      </w:pPr>
      <w:r>
        <w:rPr>
          <w:rFonts w:ascii="Aptos" w:hAnsi="Aptos" w:eastAsia="Times New Roman" w:cstheme="minorHAnsi"/>
          <w:lang w:eastAsia="en-IN"/>
        </w:rPr>
        <w:t>A new API is introduced for Government agencies to submit beneficiary details to NPCI for storage and eligibility validation.</w:t>
      </w:r>
    </w:p>
    <w:p w14:paraId="3E46132D">
      <w:pPr>
        <w:pStyle w:val="5"/>
        <w:numPr>
          <w:ilvl w:val="0"/>
          <w:numId w:val="0"/>
        </w:numPr>
        <w:ind w:left="360"/>
        <w:rPr>
          <w:rFonts w:ascii="Aptos" w:hAnsi="Aptos"/>
        </w:rPr>
      </w:pPr>
      <w:bookmarkStart w:id="6" w:name="_Toc225258761"/>
      <w:r>
        <w:rPr>
          <w:rFonts w:ascii="Aptos" w:hAnsi="Aptos"/>
        </w:rPr>
        <w:t>API for sending beneficiary details</w:t>
      </w:r>
      <w:bookmarkEnd w:id="6"/>
    </w:p>
    <w:p w14:paraId="215A70A7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 xml:space="preserve">Government sends beneficiary records to NPCI through: </w:t>
      </w:r>
    </w:p>
    <w:p w14:paraId="25A07F33">
      <w:pPr>
        <w:pStyle w:val="9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API integration, and/or</w:t>
      </w:r>
    </w:p>
    <w:p w14:paraId="193C9AC6">
      <w:pPr>
        <w:pStyle w:val="9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File upload via a secured UI (with maker–checker controls)</w:t>
      </w:r>
    </w:p>
    <w:p w14:paraId="450A7033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Beneficiary data received will be stored and maintained in Unified system.</w:t>
      </w:r>
    </w:p>
    <w:p w14:paraId="3C7F3F4D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Each beneficiary record is assigned a UUID, which acts as the unique reference for future modifications.</w:t>
      </w:r>
    </w:p>
    <w:p w14:paraId="78AC4097">
      <w:pPr>
        <w:pStyle w:val="5"/>
        <w:numPr>
          <w:ilvl w:val="0"/>
          <w:numId w:val="0"/>
        </w:numPr>
        <w:ind w:left="360"/>
        <w:rPr>
          <w:rFonts w:ascii="Aptos" w:hAnsi="Aptos"/>
        </w:rPr>
      </w:pPr>
      <w:bookmarkStart w:id="7" w:name="_Toc225258762"/>
      <w:r>
        <w:rPr>
          <w:rFonts w:ascii="Aptos" w:hAnsi="Aptos"/>
        </w:rPr>
        <w:t>API for modification of beneficiary details(Status update only)</w:t>
      </w:r>
      <w:bookmarkEnd w:id="7"/>
    </w:p>
    <w:p w14:paraId="0336D5F9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Same update Beneficiary API will be used to update the eligibility status of an existing beneficiary record.</w:t>
      </w:r>
    </w:p>
    <w:p w14:paraId="69BB6156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No other fields are allowed to be updated through this API.</w:t>
      </w:r>
    </w:p>
    <w:p w14:paraId="5491FCB5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This ensures strict control over eligibility lifecycle and prevents unintended data changes.</w:t>
      </w:r>
    </w:p>
    <w:p w14:paraId="7F987BC6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NPCI updates the beneficiary status in its repository and makes the change immediately available for bank lookups.</w:t>
      </w:r>
    </w:p>
    <w:p w14:paraId="17D15AD6">
      <w:pPr>
        <w:pStyle w:val="5"/>
        <w:numPr>
          <w:ilvl w:val="0"/>
          <w:numId w:val="0"/>
        </w:numPr>
        <w:ind w:left="360"/>
        <w:rPr>
          <w:rFonts w:ascii="Aptos" w:hAnsi="Aptos"/>
        </w:rPr>
      </w:pPr>
      <w:bookmarkStart w:id="8" w:name="_Toc225258763"/>
      <w:r>
        <w:rPr>
          <w:rFonts w:ascii="Aptos" w:hAnsi="Aptos"/>
        </w:rPr>
        <w:t>API for capturing or updating beneficiary details -File based</w:t>
      </w:r>
      <w:bookmarkEnd w:id="8"/>
      <w:r>
        <w:rPr>
          <w:rFonts w:ascii="Aptos" w:hAnsi="Aptos"/>
        </w:rPr>
        <w:t xml:space="preserve"> </w:t>
      </w:r>
    </w:p>
    <w:p w14:paraId="5596799D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In addition to APIs, Government agencies may upload beneficiary data using file</w:t>
      </w:r>
      <w:r>
        <w:rPr>
          <w:rFonts w:ascii="Aptos" w:hAnsi="Aptos"/>
          <w:sz w:val="21"/>
          <w:szCs w:val="21"/>
        </w:rPr>
        <w:noBreakHyphen/>
      </w:r>
      <w:r>
        <w:rPr>
          <w:rFonts w:ascii="Aptos" w:hAnsi="Aptos"/>
          <w:sz w:val="21"/>
          <w:szCs w:val="21"/>
        </w:rPr>
        <w:t>based uploads.</w:t>
      </w:r>
    </w:p>
    <w:p w14:paraId="08C46CE1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Government will upload the files with beneficiary data to NPCI and NPCI will update the details and send the response.</w:t>
      </w:r>
    </w:p>
    <w:p w14:paraId="7291BC57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Government also updates the existing beneficiary details via file upload with UUID and status. NPCI will update the same and send the response file to Government.</w:t>
      </w:r>
    </w:p>
    <w:p w14:paraId="5BF3562E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Maker–checker approval is enforced for all file</w:t>
      </w:r>
      <w:r>
        <w:rPr>
          <w:rFonts w:ascii="Aptos" w:hAnsi="Aptos"/>
          <w:sz w:val="21"/>
          <w:szCs w:val="21"/>
        </w:rPr>
        <w:noBreakHyphen/>
      </w:r>
      <w:r>
        <w:rPr>
          <w:rFonts w:ascii="Aptos" w:hAnsi="Aptos"/>
          <w:sz w:val="21"/>
          <w:szCs w:val="21"/>
        </w:rPr>
        <w:t>based operations.</w:t>
      </w:r>
    </w:p>
    <w:p w14:paraId="213E173A">
      <w:pPr>
        <w:pStyle w:val="4"/>
        <w:numPr>
          <w:ilvl w:val="0"/>
          <w:numId w:val="0"/>
        </w:numPr>
        <w:rPr>
          <w:rFonts w:ascii="Aptos" w:hAnsi="Aptos"/>
        </w:rPr>
      </w:pPr>
      <w:bookmarkStart w:id="9" w:name="_Toc225258764"/>
      <w:bookmarkStart w:id="10" w:name="_Toc225330709"/>
      <w:r>
        <w:rPr>
          <w:rFonts w:ascii="Aptos" w:hAnsi="Aptos"/>
        </w:rPr>
        <w:t>Bank changes</w:t>
      </w:r>
      <w:bookmarkEnd w:id="9"/>
      <w:bookmarkEnd w:id="10"/>
      <w:r>
        <w:rPr>
          <w:rFonts w:ascii="Aptos" w:hAnsi="Aptos"/>
        </w:rPr>
        <w:t xml:space="preserve"> </w:t>
      </w:r>
    </w:p>
    <w:p w14:paraId="660DD0DA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2"/>
        </w:rPr>
      </w:pPr>
      <w:r>
        <w:rPr>
          <w:rFonts w:ascii="Aptos" w:hAnsi="Aptos"/>
          <w:sz w:val="22"/>
        </w:rPr>
        <w:t>Banks query NPCI to verify whether a customer is eligible for a specific CBDC scheme.</w:t>
      </w:r>
      <w:r>
        <w:rPr>
          <w:rFonts w:ascii="Aptos" w:hAnsi="Aptos"/>
          <w:sz w:val="22"/>
        </w:rPr>
        <w:br w:type="textWrapping"/>
      </w:r>
      <w:r>
        <w:rPr>
          <w:rFonts w:ascii="Aptos" w:hAnsi="Aptos"/>
          <w:sz w:val="22"/>
        </w:rPr>
        <w:t>The lookup can be performed using any one of the supported identifiers.</w:t>
      </w:r>
    </w:p>
    <w:p w14:paraId="3B1231A8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2"/>
        </w:rPr>
      </w:pPr>
      <w:r>
        <w:rPr>
          <w:rFonts w:ascii="Aptos" w:hAnsi="Aptos"/>
          <w:sz w:val="22"/>
        </w:rPr>
        <w:t>Request Parameters (any one mandatory):</w:t>
      </w:r>
    </w:p>
    <w:p w14:paraId="4407DA8A">
      <w:pPr>
        <w:pStyle w:val="9"/>
        <w:rPr>
          <w:rFonts w:ascii="Aptos" w:hAnsi="Aptos"/>
          <w:sz w:val="22"/>
        </w:rPr>
      </w:pPr>
      <w:r>
        <w:rPr>
          <w:rFonts w:ascii="Aptos" w:hAnsi="Aptos"/>
          <w:sz w:val="22"/>
        </w:rPr>
        <w:t>beneficiary_aadhaar_hash</w:t>
      </w:r>
    </w:p>
    <w:p w14:paraId="7C57B82C">
      <w:pPr>
        <w:pStyle w:val="9"/>
        <w:rPr>
          <w:rFonts w:ascii="Aptos" w:hAnsi="Aptos"/>
          <w:sz w:val="22"/>
        </w:rPr>
      </w:pPr>
      <w:r>
        <w:rPr>
          <w:rFonts w:ascii="Aptos" w:hAnsi="Aptos"/>
          <w:sz w:val="22"/>
        </w:rPr>
        <w:t>other_id_type + other_id</w:t>
      </w:r>
    </w:p>
    <w:p w14:paraId="4C415A3B">
      <w:pPr>
        <w:pStyle w:val="9"/>
        <w:rPr>
          <w:rFonts w:ascii="Aptos" w:hAnsi="Aptos"/>
          <w:sz w:val="22"/>
        </w:rPr>
      </w:pPr>
      <w:r>
        <w:rPr>
          <w:rFonts w:ascii="Aptos" w:hAnsi="Aptos"/>
          <w:sz w:val="22"/>
        </w:rPr>
        <w:t>beneficiary_mobile</w:t>
      </w:r>
    </w:p>
    <w:p w14:paraId="022F7928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2"/>
        </w:rPr>
      </w:pPr>
      <w:r>
        <w:rPr>
          <w:rFonts w:ascii="Aptos" w:hAnsi="Aptos"/>
          <w:sz w:val="22"/>
        </w:rPr>
        <w:t>NPCI validates the request and gives a response to the banks on the beneficiary details.</w:t>
      </w:r>
    </w:p>
    <w:p w14:paraId="7247A056">
      <w:pPr>
        <w:pStyle w:val="9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Aptos" w:hAnsi="Aptos"/>
          <w:sz w:val="22"/>
        </w:rPr>
      </w:pPr>
      <w:r>
        <w:rPr>
          <w:rFonts w:ascii="Aptos" w:hAnsi="Aptos"/>
          <w:sz w:val="22"/>
        </w:rPr>
        <w:t>Response Fields:</w:t>
      </w:r>
    </w:p>
    <w:p w14:paraId="40DEF4E9">
      <w:pPr>
        <w:pStyle w:val="9"/>
        <w:rPr>
          <w:rFonts w:ascii="Aptos" w:hAnsi="Aptos"/>
          <w:sz w:val="22"/>
        </w:rPr>
      </w:pPr>
      <w:r>
        <w:rPr>
          <w:rFonts w:ascii="Aptos" w:hAnsi="Aptos"/>
          <w:sz w:val="22"/>
        </w:rPr>
        <w:t>status (Active / Inactive)</w:t>
      </w:r>
    </w:p>
    <w:p w14:paraId="44666E2E">
      <w:pPr>
        <w:pStyle w:val="9"/>
        <w:rPr>
          <w:rFonts w:ascii="Aptos" w:hAnsi="Aptos"/>
          <w:sz w:val="22"/>
        </w:rPr>
      </w:pPr>
      <w:r>
        <w:rPr>
          <w:rFonts w:ascii="Aptos" w:hAnsi="Aptos"/>
          <w:sz w:val="22"/>
        </w:rPr>
        <w:t>scheme_code</w:t>
      </w:r>
    </w:p>
    <w:p w14:paraId="289DA4E4">
      <w:pPr>
        <w:pStyle w:val="9"/>
        <w:rPr>
          <w:rFonts w:ascii="Aptos" w:hAnsi="Aptos"/>
          <w:sz w:val="22"/>
        </w:rPr>
      </w:pPr>
      <w:r>
        <w:rPr>
          <w:rFonts w:ascii="Aptos" w:hAnsi="Aptos"/>
          <w:sz w:val="22"/>
        </w:rPr>
        <w:t>eligible_till</w:t>
      </w:r>
    </w:p>
    <w:p w14:paraId="42CB91EC">
      <w:pPr>
        <w:pStyle w:val="9"/>
        <w:rPr>
          <w:rFonts w:ascii="Aptos" w:hAnsi="Aptos"/>
          <w:sz w:val="22"/>
        </w:rPr>
      </w:pPr>
      <w:r>
        <w:rPr>
          <w:rFonts w:ascii="Aptos" w:hAnsi="Aptos"/>
          <w:sz w:val="22"/>
        </w:rPr>
        <w:t>uploading_entity_id</w:t>
      </w:r>
    </w:p>
    <w:p w14:paraId="16A9F56F">
      <w:pPr>
        <w:pStyle w:val="9"/>
        <w:rPr>
          <w:rFonts w:ascii="Aptos" w:hAnsi="Aptos"/>
          <w:sz w:val="22"/>
        </w:rPr>
      </w:pPr>
      <w:r>
        <w:rPr>
          <w:rFonts w:ascii="Aptos" w:hAnsi="Aptos"/>
          <w:sz w:val="22"/>
        </w:rPr>
        <w:t>uploading_entity_type</w:t>
      </w:r>
    </w:p>
    <w:bookmarkEnd w:id="3"/>
    <w:p w14:paraId="71E3F155">
      <w:bookmarkStart w:id="11" w:name="_GoBack"/>
      <w:bookmarkEnd w:id="1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Bold">
    <w:altName w:val="Arial"/>
    <w:panose1 w:val="020B0704020202020204"/>
    <w:charset w:val="00"/>
    <w:family w:val="roman"/>
    <w:pitch w:val="default"/>
    <w:sig w:usb0="00000000" w:usb1="00000000" w:usb2="00000000" w:usb3="00000000" w:csb0="00000001" w:csb1="00000000"/>
  </w:font>
  <w:font w:name="Perpetua">
    <w:altName w:val="PMingLiU-ExtB"/>
    <w:panose1 w:val="02020502060401020303"/>
    <w:charset w:val="00"/>
    <w:family w:val="roman"/>
    <w:pitch w:val="default"/>
    <w:sig w:usb0="00000000" w:usb1="00000000" w:usb2="00000000" w:usb3="00000000" w:csb0="0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EC4A8B"/>
    <w:multiLevelType w:val="multilevel"/>
    <w:tmpl w:val="14EC4A8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237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122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50510851"/>
    <w:multiLevelType w:val="multilevel"/>
    <w:tmpl w:val="505108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53376A1"/>
    <w:multiLevelType w:val="multilevel"/>
    <w:tmpl w:val="753376A1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27DC5"/>
    <w:rsid w:val="46A2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60" w:line="276" w:lineRule="auto"/>
    </w:pPr>
    <w:rPr>
      <w:rFonts w:ascii="Arial" w:hAnsi="Arial" w:cs="Arial" w:eastAsiaTheme="minorHAnsi"/>
      <w:sz w:val="21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keepNext/>
      <w:numPr>
        <w:ilvl w:val="0"/>
        <w:numId w:val="1"/>
      </w:numPr>
      <w:spacing w:before="240" w:after="180" w:line="240" w:lineRule="auto"/>
      <w:ind w:left="431" w:hanging="431"/>
      <w:outlineLvl w:val="0"/>
    </w:pPr>
    <w:rPr>
      <w:rFonts w:ascii="Arial Bold" w:hAnsi="Arial Bold" w:eastAsia="Perpetua" w:cs="Arial"/>
      <w:b/>
      <w:color w:val="28357E"/>
      <w:spacing w:val="20"/>
      <w:sz w:val="36"/>
      <w:szCs w:val="40"/>
      <w:lang w:val="en-US" w:eastAsia="en-US" w:bidi="ar-SA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tabs>
        <w:tab w:val="left" w:pos="1440"/>
      </w:tabs>
      <w:spacing w:before="200" w:after="40" w:line="240" w:lineRule="auto"/>
      <w:ind w:left="578" w:hanging="578"/>
      <w:outlineLvl w:val="1"/>
    </w:pPr>
    <w:rPr>
      <w:rFonts w:eastAsia="Perpetua"/>
      <w:b/>
      <w:color w:val="D9782D"/>
      <w:spacing w:val="20"/>
      <w:sz w:val="28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/>
      <w:b/>
      <w:bCs/>
      <w:color w:val="28357E"/>
      <w:sz w:val="24"/>
      <w:szCs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6D6E70"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Heading1NoTOCNoNum"/>
    <w:basedOn w:val="2"/>
    <w:qFormat/>
    <w:uiPriority w:val="0"/>
    <w:pPr>
      <w:numPr>
        <w:numId w:val="0"/>
      </w:numPr>
    </w:pPr>
  </w:style>
  <w:style w:type="paragraph" w:styleId="9">
    <w:name w:val="No Spacing"/>
    <w:qFormat/>
    <w:uiPriority w:val="1"/>
    <w:pPr>
      <w:spacing w:after="0" w:line="240" w:lineRule="auto"/>
    </w:pPr>
    <w:rPr>
      <w:rFonts w:ascii="Arial" w:hAnsi="Arial" w:eastAsiaTheme="minorHAnsi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2026-04-25T12:39:00Z</dcterms:created>
  <dc:creator>localadmin</dc:creator>
  <cp:lastModifiedBy>localadmin</cp:lastModifiedBy>
  <dcterms:modified xsi:type="dcterms:W3CDTF">2026-04-25T12:41:19Z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290F8A82513E422DACEA9A88D57E70F1_11</vt:lpwstr>
  </property>
</Properties>
</file>