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2"/>
        </w:rPr>
        <w:t>API specification (JSON)</w:t>
      </w:r>
    </w:p>
    <w:p>
      <w:r>
        <w:rPr>
          <w:i w:val="on"/>
          <w:sz w:val="20"/>
        </w:rPr>
        <w:t>Generated from requirement documents via RAG + local LLM (Ollama).</w:t>
      </w:r>
    </w:p>
    <w:p>
      <w:r>
        <w:rPr>
          <w:rFonts w:ascii="Consolas" w:hAnsi="Consolas" w:cs="Consolas" w:eastAsia="Consolas"/>
          <w:sz w:val="18"/>
        </w:rPr>
        <w:t>{
  "reqiPay" : {
    "head" : {
      "version" : "1.0",
      "originatorId" : "HDFC",
      "transactionId" : "",
      "msgId" : "",
      "timeStamp" : "2025-10-15 22:08:32.771"
    },
    "transactionDetails" : {
      "achReferenceId" : "&lt;for INW and RES&gt;",
      "product" : "APB/ACHCR/ACHDR",
      "subproduct" : "SAL",
      "transactionType" : "INP/INW/RET/RES",
      "amount" : "",
      "umrn" : "",
      "callbackURL" : "https://bankip:port/inach/v1.0/resiPay?txnId=HDFC78989876543456789087654345678765"
    },
    "sender" : {
      "bankCode" : "HDFC",
      "referenceId" : "",
      "bankIdType" : "IFSC",
      "bankIdentifier" : "",
      "narration" : "Pension scheme",
      "corporateUserNumber" : ""
    },
    "receiver" : {
      "bankCode" : "SBIN",
      "referenceId" : "&lt;for RET&gt;",
      "bankIdType" : "",
      "bankIdentifier" : "",
      "accountType" : ""
    },
    "additionalData" : {
      "mordRefInfo" : "",
      "mordGroupId" : "",
      "mordFtoNumber" : "",
      "govSchemeType" : "",
      "govBeneficiaryType" : "",
      "govcentralShare" : "",
      "govstateShare" : ""
    },
    "secureData" : {
      "senderAccountNumber" : "",
      "senderCorporateUserName" : "",
      "receiverAccountNumber" : "",
      "receiverAadhaarNumber" : "",
      "receiverName" : ""
    }
  }
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2026-04-25T11:50:10Z</dcterms:created>
  <dc:creator>Apache POI</dc:creator>
</cp:coreProperties>
</file>