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 xml:space="preserve">30 September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r>
              <w:t xml:space="preserve">SWTID-2026-7062</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B18FD7C" w:rsidR="004360B1" w:rsidRDefault="004360B1">
            <w:r>
              <w:t xml:space="preserve">AL BLOG NEST</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p/>
    <w:p>
      <w:r>
        <w:rPr>
          <w:b/>
          <w:i w:val="0"/>
          <w:sz w:val="26"/>
        </w:rPr>
        <w:t>Problem – Solution Fit Canvas – AL BLOG NEST</w:t>
      </w:r>
    </w:p>
    <w:tbl>
      <w:tblPr>
        <w:tblW w:type="auto" w:w="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4513"/>
        <w:gridCol w:w="4513"/>
      </w:tblGrid>
      <w:tr>
        <w:tc>
          <w:tcPr>
            <w:tcW w:type="dxa" w:w="2888"/>
            <w:shd w:val="clear" w:color="auto" w:fill="D9E2F3"/>
          </w:tcPr>
          <w:p>
            <w:r/>
            <w:r>
              <w:rPr>
                <w:b/>
                <w:sz w:val="20"/>
              </w:rPr>
              <w:t>Canvas block</w:t>
            </w:r>
          </w:p>
        </w:tc>
        <w:tc>
          <w:tcPr>
            <w:tcW w:type="dxa" w:w="6066"/>
            <w:shd w:val="clear" w:color="auto" w:fill="D9E2F3"/>
          </w:tcPr>
          <w:p>
            <w:r/>
            <w:r>
              <w:rPr>
                <w:b/>
                <w:sz w:val="20"/>
              </w:rPr>
              <w:t>AL BLOG NEST</w:t>
            </w:r>
          </w:p>
        </w:tc>
      </w:tr>
      <w:tr>
        <w:tc>
          <w:tcPr>
            <w:tcW w:type="dxa" w:w="2888"/>
          </w:tcPr>
          <w:p>
            <w:r/>
            <w:r>
              <w:rPr>
                <w:sz w:val="20"/>
              </w:rPr>
              <w:t>1. Customer Segment(s) (CS)</w:t>
            </w:r>
          </w:p>
        </w:tc>
        <w:tc>
          <w:tcPr>
            <w:tcW w:type="dxa" w:w="6066"/>
          </w:tcPr>
          <w:p>
            <w:r/>
            <w:r>
              <w:rPr>
                <w:sz w:val="20"/>
              </w:rPr>
              <w:t>Students, freelance writers and working professionals who want to blog, and readers who want to learn from articles.</w:t>
            </w:r>
          </w:p>
        </w:tc>
      </w:tr>
      <w:tr>
        <w:tc>
          <w:tcPr>
            <w:tcW w:type="dxa" w:w="2888"/>
          </w:tcPr>
          <w:p>
            <w:r/>
            <w:r>
              <w:rPr>
                <w:sz w:val="20"/>
              </w:rPr>
              <w:t>2. Jobs-to-be-Done / Problems (J&amp;P)</w:t>
            </w:r>
          </w:p>
        </w:tc>
        <w:tc>
          <w:tcPr>
            <w:tcW w:type="dxa" w:w="6066"/>
          </w:tcPr>
          <w:p>
            <w:r/>
            <w:r>
              <w:rPr>
                <w:sz w:val="20"/>
              </w:rPr>
              <w:t>Publish and manage blog posts easily; get discovered; find relevant blogs; receive feedback from readers.</w:t>
            </w:r>
          </w:p>
        </w:tc>
      </w:tr>
      <w:tr>
        <w:tc>
          <w:tcPr>
            <w:tcW w:type="dxa" w:w="2888"/>
          </w:tcPr>
          <w:p>
            <w:r/>
            <w:r>
              <w:rPr>
                <w:sz w:val="20"/>
              </w:rPr>
              <w:t>3. Triggers (TR)</w:t>
            </w:r>
          </w:p>
        </w:tc>
        <w:tc>
          <w:tcPr>
            <w:tcW w:type="dxa" w:w="6066"/>
          </w:tcPr>
          <w:p>
            <w:r/>
            <w:r>
              <w:rPr>
                <w:sz w:val="20"/>
              </w:rPr>
              <w:t>Seeing peers build an online identity through blogs; need for a portfolio; wanting to share newly learned knowledge.</w:t>
            </w:r>
          </w:p>
        </w:tc>
      </w:tr>
      <w:tr>
        <w:tc>
          <w:tcPr>
            <w:tcW w:type="dxa" w:w="2888"/>
          </w:tcPr>
          <w:p>
            <w:r/>
            <w:r>
              <w:rPr>
                <w:sz w:val="20"/>
              </w:rPr>
              <w:t>4. Emotions: Before / After (EM)</w:t>
            </w:r>
          </w:p>
        </w:tc>
        <w:tc>
          <w:tcPr>
            <w:tcW w:type="dxa" w:w="6066"/>
          </w:tcPr>
          <w:p>
            <w:r/>
            <w:r>
              <w:rPr>
                <w:sz w:val="20"/>
              </w:rPr>
              <w:t>Before: frustrated, confused, discouraged.</w:t>
            </w:r>
          </w:p>
          <w:p>
            <w:r>
              <w:rPr>
                <w:sz w:val="20"/>
              </w:rPr>
              <w:t>After: confident, motivated and connected with a community.</w:t>
            </w:r>
          </w:p>
        </w:tc>
      </w:tr>
      <w:tr>
        <w:tc>
          <w:tcPr>
            <w:tcW w:type="dxa" w:w="2888"/>
          </w:tcPr>
          <w:p>
            <w:r/>
            <w:r>
              <w:rPr>
                <w:sz w:val="20"/>
              </w:rPr>
              <w:t>5. Available Solutions (AS)</w:t>
            </w:r>
          </w:p>
        </w:tc>
        <w:tc>
          <w:tcPr>
            <w:tcW w:type="dxa" w:w="6066"/>
          </w:tcPr>
          <w:p>
            <w:r/>
            <w:r>
              <w:rPr>
                <w:sz w:val="20"/>
              </w:rPr>
              <w:t>General blogging websites and social media posts. Some are complex to set up or customise, show heavy ads or paywalls, or lack focused discovery.</w:t>
            </w:r>
          </w:p>
        </w:tc>
      </w:tr>
      <w:tr>
        <w:tc>
          <w:tcPr>
            <w:tcW w:type="dxa" w:w="2888"/>
          </w:tcPr>
          <w:p>
            <w:r/>
            <w:r>
              <w:rPr>
                <w:sz w:val="20"/>
              </w:rPr>
              <w:t>6. Customer Constraints (CC)</w:t>
            </w:r>
          </w:p>
        </w:tc>
        <w:tc>
          <w:tcPr>
            <w:tcW w:type="dxa" w:w="6066"/>
          </w:tcPr>
          <w:p>
            <w:r/>
            <w:r>
              <w:rPr>
                <w:sz w:val="20"/>
              </w:rPr>
              <w:t>Limited technical knowledge and time, no budget for hosting, low trust in unknown platforms, mostly mobile internet access.</w:t>
            </w:r>
          </w:p>
        </w:tc>
      </w:tr>
      <w:tr>
        <w:tc>
          <w:tcPr>
            <w:tcW w:type="dxa" w:w="2888"/>
          </w:tcPr>
          <w:p>
            <w:r/>
            <w:r>
              <w:rPr>
                <w:sz w:val="20"/>
              </w:rPr>
              <w:t>7. Behaviour (BE)</w:t>
            </w:r>
          </w:p>
        </w:tc>
        <w:tc>
          <w:tcPr>
            <w:tcW w:type="dxa" w:w="6066"/>
          </w:tcPr>
          <w:p>
            <w:r/>
            <w:r>
              <w:rPr>
                <w:sz w:val="20"/>
              </w:rPr>
              <w:t>Writes drafts in notes or documents, shares links on social media, searches online for articles, reads mostly on mobile.</w:t>
            </w:r>
          </w:p>
        </w:tc>
      </w:tr>
      <w:tr>
        <w:tc>
          <w:tcPr>
            <w:tcW w:type="dxa" w:w="2888"/>
          </w:tcPr>
          <w:p>
            <w:r/>
            <w:r>
              <w:rPr>
                <w:sz w:val="20"/>
              </w:rPr>
              <w:t>8. Channels of Behaviour (CH)</w:t>
            </w:r>
          </w:p>
        </w:tc>
        <w:tc>
          <w:tcPr>
            <w:tcW w:type="dxa" w:w="6066"/>
          </w:tcPr>
          <w:p>
            <w:r/>
            <w:r>
              <w:rPr>
                <w:sz w:val="20"/>
              </w:rPr>
              <w:t>Online: search engines, social media, WhatsApp / Telegram groups, email.</w:t>
            </w:r>
          </w:p>
          <w:p>
            <w:r>
              <w:rPr>
                <w:sz w:val="20"/>
              </w:rPr>
              <w:t>Offline: college and peer discussions, word of mouth.</w:t>
            </w:r>
          </w:p>
        </w:tc>
      </w:tr>
      <w:tr>
        <w:tc>
          <w:tcPr>
            <w:tcW w:type="dxa" w:w="2888"/>
          </w:tcPr>
          <w:p>
            <w:r/>
            <w:r>
              <w:rPr>
                <w:sz w:val="20"/>
              </w:rPr>
              <w:t>9. Your Solution (SL)</w:t>
            </w:r>
          </w:p>
        </w:tc>
        <w:tc>
          <w:tcPr>
            <w:tcW w:type="dxa" w:w="6066"/>
          </w:tcPr>
          <w:p>
            <w:r/>
            <w:r>
              <w:rPr>
                <w:sz w:val="20"/>
              </w:rPr>
              <w:t>AL BLOG NEST – a simple, responsive web platform to register, write, publish, search, read and engage with blogs, with admin moderation to keep content safe.</w:t>
            </w:r>
          </w:p>
        </w:tc>
      </w:tr>
      <w:tr>
        <w:tc>
          <w:tcPr>
            <w:tcW w:type="dxa" w:w="2888"/>
          </w:tcPr>
          <w:p>
            <w:r/>
            <w:r>
              <w:rPr>
                <w:sz w:val="20"/>
              </w:rPr>
              <w:t>10. Problem Root Cause (RC)</w:t>
            </w:r>
          </w:p>
        </w:tc>
        <w:tc>
          <w:tcPr>
            <w:tcW w:type="dxa" w:w="6066"/>
          </w:tcPr>
          <w:p>
            <w:r/>
            <w:r>
              <w:rPr>
                <w:sz w:val="20"/>
              </w:rPr>
              <w:t>Complex setup, scattered content and the lack of a simple, dedicated and moderated blogging community platform.</w:t>
            </w:r>
          </w:p>
        </w:tc>
      </w:tr>
    </w:tbl>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