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0"/>
          <w:szCs w:val="40"/>
        </w:rPr>
        <w:t xml:space="preserve">AI-Powered Allure Reporting &amp; Trend Analysis</w:t>
      </w:r>
    </w:p>
    <w:p>
      <w:pPr>
        <w:spacing w:after="60"/>
      </w:pPr>
      <w:r>
        <w:rPr>
          <w:color w:val="555555"/>
          <w:sz w:val="26"/>
          <w:szCs w:val="26"/>
        </w:rPr>
        <w:t xml:space="preserve">End-to-End Architecture Design Document</w:t>
      </w:r>
    </w:p>
    <w:p>
      <w:pPr>
        <w:spacing w:after="300"/>
      </w:pPr>
      <w:r>
        <w:rPr>
          <w:color w:val="888888"/>
          <w:sz w:val="22"/>
          <w:szCs w:val="22"/>
        </w:rPr>
        <w:t xml:space="preserve">QA Automation · Cypress + Playwright · Azure DevOps</w:t>
      </w:r>
    </w:p>
    <w:p>
      <w:pPr>
        <w:pBdr>
          <w:bottom w:val="single" w:color="999999" w:sz="6" w:space="1"/>
        </w:pBdr>
        <w:spacing w:after="240"/>
      </w:pPr>
    </w:p>
    <w:p>
      <w:pPr>
        <w:pStyle w:val="Heading1"/>
        <w:spacing w:after="160" w:before="320"/>
      </w:pPr>
      <w:r>
        <w:t xml:space="preserve">1. Purpose &amp; Scope</w:t>
      </w:r>
    </w:p>
    <w:p>
      <w:pPr>
        <w:spacing w:after="140"/>
      </w:pPr>
      <w:r>
        <w:t xml:space="preserve">This document defines the end-to-end design for extending the existing Allure reporting pipeline with AI-driven summarization for the functional QA team, and a historical trend / root-cause-analysis (RCA) capability for recurring issues. It builds on, and does not replace, the existing allure-weekly-reporter chatmode, allure-report-analysis skill, and weekly-qa-report prompt already in production.</w:t>
      </w:r>
    </w:p>
    <w:p>
      <w:pPr>
        <w:spacing w:after="140"/>
      </w:pPr>
      <w:r>
        <w:rPr>
          <w:b/>
          <w:bCs/>
        </w:rPr>
        <w:t xml:space="preserve">In scope: </w:t>
      </w:r>
      <w:r>
        <w:t xml:space="preserve">Allure result ingestion for Cypress and Playwright, a persistent historical failure store, AI summarization for non-technical stakeholders, and an issue-level trend/RCA agent.</w:t>
      </w:r>
    </w:p>
    <w:p>
      <w:pPr>
        <w:spacing w:after="140"/>
      </w:pPr>
      <w:r>
        <w:rPr>
          <w:b/>
          <w:bCs/>
        </w:rPr>
        <w:t xml:space="preserve">Out of scope (later phase, governance-gated): </w:t>
      </w:r>
      <w:r>
        <w:t xml:space="preserve">automated defect filing into Azure DevOps and any AI action that writes to production systems.</w:t>
      </w:r>
    </w:p>
    <w:p>
      <w:pPr>
        <w:pStyle w:val="Heading1"/>
        <w:spacing w:after="160" w:before="320"/>
      </w:pPr>
      <w:r>
        <w:t xml:space="preserve">2. Current State</w:t>
      </w:r>
    </w:p>
    <w:p>
      <w:pPr>
        <w:spacing w:after="140"/>
      </w:pPr>
      <w:r>
        <w:t xml:space="preserve">The following components are already built and in production. This design extends them rather than replacing them.</w:t>
      </w:r>
    </w:p>
    <w:p>
      <w:pPr>
        <w:pStyle w:val="ListParagraph"/>
        <w:numPr>
          <w:ilvl w:val="0"/>
          <w:numId w:val="1"/>
        </w:numPr>
        <w:spacing w:after="80"/>
      </w:pPr>
      <w:r>
        <w:t xml:space="preserve">allure-weekly-reporter (chatmode) — drives the weekend Azure DevOps run review</w:t>
      </w:r>
    </w:p>
    <w:p>
      <w:pPr>
        <w:pStyle w:val="ListParagraph"/>
        <w:numPr>
          <w:ilvl w:val="0"/>
          <w:numId w:val="1"/>
        </w:numPr>
        <w:spacing w:after="80"/>
      </w:pPr>
      <w:r>
        <w:t xml:space="preserve">allure-report-analysis (skill) — parses Allure output; maintains a failure ledger for new / recurring / flaky classification</w:t>
      </w:r>
    </w:p>
    <w:p>
      <w:pPr>
        <w:pStyle w:val="ListParagraph"/>
        <w:numPr>
          <w:ilvl w:val="0"/>
          <w:numId w:val="1"/>
        </w:numPr>
        <w:spacing w:after="80"/>
      </w:pPr>
      <w:r>
        <w:t xml:space="preserve">weekly-qa-report (prompt file) — generates the Monday manager status report</w:t>
      </w:r>
    </w:p>
    <w:p>
      <w:pPr>
        <w:pStyle w:val="ListParagraph"/>
        <w:numPr>
          <w:ilvl w:val="0"/>
          <w:numId w:val="1"/>
        </w:numPr>
        <w:spacing w:after="80"/>
      </w:pPr>
      <w:r>
        <w:t xml:space="preserve">Automation stack: Cypress + Playwright + Node.js + GitHub Copilot, orchestrated via Azure DevOps weekend runs</w:t>
      </w:r>
    </w:p>
    <w:p>
      <w:pPr>
        <w:spacing w:after="140"/>
      </w:pPr>
      <w:r>
        <w:t xml:space="preserve">Gap: the failure ledger is scoped per weekly run. There is no durable, queryable history of a given issue across weeks or months, which is a hard prerequisite for trend analysis and RCA.</w:t>
      </w:r>
    </w:p>
    <w:p>
      <w:pPr>
        <w:pStyle w:val="Heading1"/>
        <w:spacing w:after="160" w:before="320"/>
      </w:pPr>
      <w:r>
        <w:t xml:space="preserve">3. Target Architecture</w:t>
      </w:r>
    </w:p>
    <w:p>
      <w:pPr>
        <w:pStyle w:val="Heading2"/>
        <w:spacing w:after="120" w:before="240"/>
      </w:pPr>
      <w:r>
        <w:t xml:space="preserve">3.1 Component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400"/>
        <w:gridCol w:w="3960"/>
      </w:tblGrid>
      <w:tr>
        <w:trPr>
          <w:tblHeader/>
        </w:trPr>
        <w:tc>
          <w:tcPr>
            <w:tcW w:type="dxa" w:w="1600"/>
            <w:shd w:fill="1F4E78" w:val="clear"/>
            <w:tcMar>
              <w:top w:type="dxa" w:w="80"/>
              <w:left w:type="dxa" w:w="100"/>
              <w:bottom w:type="dxa" w:w="80"/>
              <w:right w:type="dxa" w:w="100"/>
            </w:tcMar>
          </w:tcPr>
          <w:p>
            <w:r>
              <w:rPr>
                <w:b/>
                <w:bCs/>
                <w:color w:val="FFFFFF"/>
                <w:sz w:val="20"/>
                <w:szCs w:val="20"/>
              </w:rPr>
              <w:t xml:space="preserve">Layer</w:t>
            </w:r>
          </w:p>
        </w:tc>
        <w:tc>
          <w:tcPr>
            <w:tcW w:type="dxa" w:w="2400"/>
            <w:shd w:fill="1F4E78" w:val="clear"/>
            <w:tcMar>
              <w:top w:type="dxa" w:w="80"/>
              <w:left w:type="dxa" w:w="100"/>
              <w:bottom w:type="dxa" w:w="80"/>
              <w:right w:type="dxa" w:w="100"/>
            </w:tcMar>
          </w:tcPr>
          <w:p>
            <w:r>
              <w:rPr>
                <w:b/>
                <w:bCs/>
                <w:color w:val="FFFFFF"/>
                <w:sz w:val="20"/>
                <w:szCs w:val="20"/>
              </w:rPr>
              <w:t xml:space="preserve">Component</w:t>
            </w:r>
          </w:p>
        </w:tc>
        <w:tc>
          <w:tcPr>
            <w:tcW w:type="dxa" w:w="1400"/>
            <w:shd w:fill="1F4E78" w:val="clear"/>
            <w:tcMar>
              <w:top w:type="dxa" w:w="80"/>
              <w:left w:type="dxa" w:w="100"/>
              <w:bottom w:type="dxa" w:w="80"/>
              <w:right w:type="dxa" w:w="100"/>
            </w:tcMar>
          </w:tcPr>
          <w:p>
            <w:r>
              <w:rPr>
                <w:b/>
                <w:bCs/>
                <w:color w:val="FFFFFF"/>
                <w:sz w:val="20"/>
                <w:szCs w:val="20"/>
              </w:rPr>
              <w:t xml:space="preserve">Status</w:t>
            </w:r>
          </w:p>
        </w:tc>
        <w:tc>
          <w:tcPr>
            <w:tcW w:type="dxa" w:w="3960"/>
            <w:shd w:fill="1F4E78" w:val="clear"/>
            <w:tcMar>
              <w:top w:type="dxa" w:w="80"/>
              <w:left w:type="dxa" w:w="100"/>
              <w:bottom w:type="dxa" w:w="80"/>
              <w:right w:type="dxa" w:w="100"/>
            </w:tcMar>
          </w:tcPr>
          <w:p>
            <w:r>
              <w:rPr>
                <w:b/>
                <w:bCs/>
                <w:color w:val="FFFFFF"/>
                <w:sz w:val="20"/>
                <w:szCs w:val="20"/>
              </w:rPr>
              <w:t xml:space="preserve">Purpose</w:t>
            </w:r>
          </w:p>
        </w:tc>
      </w:tr>
      <w:tr>
        <w:tc>
          <w:tcPr>
            <w:tcW w:type="dxa" w:w="1600"/>
            <w:tcMar>
              <w:top w:type="dxa" w:w="80"/>
              <w:left w:type="dxa" w:w="100"/>
              <w:bottom w:type="dxa" w:w="80"/>
              <w:right w:type="dxa" w:w="100"/>
            </w:tcMar>
          </w:tcPr>
          <w:p>
            <w:r>
              <w:rPr>
                <w:b w:val="false"/>
                <w:bCs w:val="false"/>
                <w:sz w:val="20"/>
                <w:szCs w:val="20"/>
              </w:rPr>
              <w:t xml:space="preserve">Ingestion</w:t>
            </w:r>
          </w:p>
        </w:tc>
        <w:tc>
          <w:tcPr>
            <w:tcW w:type="dxa" w:w="2400"/>
            <w:tcMar>
              <w:top w:type="dxa" w:w="80"/>
              <w:left w:type="dxa" w:w="100"/>
              <w:bottom w:type="dxa" w:w="80"/>
              <w:right w:type="dxa" w:w="100"/>
            </w:tcMar>
          </w:tcPr>
          <w:p>
            <w:r>
              <w:rPr>
                <w:b w:val="false"/>
                <w:bCs w:val="false"/>
                <w:sz w:val="20"/>
                <w:szCs w:val="20"/>
              </w:rPr>
              <w:t xml:space="preserve">Allure Normalization Adapter</w:t>
            </w:r>
          </w:p>
        </w:tc>
        <w:tc>
          <w:tcPr>
            <w:tcW w:type="dxa" w:w="1400"/>
            <w:tcMar>
              <w:top w:type="dxa" w:w="80"/>
              <w:left w:type="dxa" w:w="100"/>
              <w:bottom w:type="dxa" w:w="80"/>
              <w:right w:type="dxa" w:w="100"/>
            </w:tcMar>
          </w:tcPr>
          <w:p>
            <w:r>
              <w:rPr>
                <w:b w:val="false"/>
                <w:bCs w:val="false"/>
                <w:sz w:val="20"/>
                <w:szCs w:val="20"/>
              </w:rPr>
              <w:t xml:space="preserve">New</w:t>
            </w:r>
          </w:p>
        </w:tc>
        <w:tc>
          <w:tcPr>
            <w:tcW w:type="dxa" w:w="3960"/>
            <w:tcMar>
              <w:top w:type="dxa" w:w="80"/>
              <w:left w:type="dxa" w:w="100"/>
              <w:bottom w:type="dxa" w:w="80"/>
              <w:right w:type="dxa" w:w="100"/>
            </w:tcMar>
          </w:tcPr>
          <w:p>
            <w:r>
              <w:rPr>
                <w:b w:val="false"/>
                <w:bCs w:val="false"/>
                <w:sz w:val="20"/>
                <w:szCs w:val="20"/>
              </w:rPr>
              <w:t xml:space="preserve">Maps Cypress and Playwright Allure output into one common schema</w:t>
            </w:r>
          </w:p>
        </w:tc>
      </w:tr>
      <w:tr>
        <w:tc>
          <w:tcPr>
            <w:tcW w:type="dxa" w:w="1600"/>
            <w:tcMar>
              <w:top w:type="dxa" w:w="80"/>
              <w:left w:type="dxa" w:w="100"/>
              <w:bottom w:type="dxa" w:w="80"/>
              <w:right w:type="dxa" w:w="100"/>
            </w:tcMar>
          </w:tcPr>
          <w:p>
            <w:r>
              <w:rPr>
                <w:b w:val="false"/>
                <w:bCs w:val="false"/>
                <w:sz w:val="20"/>
                <w:szCs w:val="20"/>
              </w:rPr>
              <w:t xml:space="preserve">Storage</w:t>
            </w:r>
          </w:p>
        </w:tc>
        <w:tc>
          <w:tcPr>
            <w:tcW w:type="dxa" w:w="2400"/>
            <w:tcMar>
              <w:top w:type="dxa" w:w="80"/>
              <w:left w:type="dxa" w:w="100"/>
              <w:bottom w:type="dxa" w:w="80"/>
              <w:right w:type="dxa" w:w="100"/>
            </w:tcMar>
          </w:tcPr>
          <w:p>
            <w:r>
              <w:rPr>
                <w:b w:val="false"/>
                <w:bCs w:val="false"/>
                <w:sz w:val="20"/>
                <w:szCs w:val="20"/>
              </w:rPr>
              <w:t xml:space="preserve">Historical Failure Store (JSON)</w:t>
            </w:r>
          </w:p>
        </w:tc>
        <w:tc>
          <w:tcPr>
            <w:tcW w:type="dxa" w:w="1400"/>
            <w:tcMar>
              <w:top w:type="dxa" w:w="80"/>
              <w:left w:type="dxa" w:w="100"/>
              <w:bottom w:type="dxa" w:w="80"/>
              <w:right w:type="dxa" w:w="100"/>
            </w:tcMar>
          </w:tcPr>
          <w:p>
            <w:r>
              <w:rPr>
                <w:b w:val="false"/>
                <w:bCs w:val="false"/>
                <w:sz w:val="20"/>
                <w:szCs w:val="20"/>
              </w:rPr>
              <w:t xml:space="preserve">New</w:t>
            </w:r>
          </w:p>
        </w:tc>
        <w:tc>
          <w:tcPr>
            <w:tcW w:type="dxa" w:w="3960"/>
            <w:tcMar>
              <w:top w:type="dxa" w:w="80"/>
              <w:left w:type="dxa" w:w="100"/>
              <w:bottom w:type="dxa" w:w="80"/>
              <w:right w:type="dxa" w:w="100"/>
            </w:tcMar>
          </w:tcPr>
          <w:p>
            <w:r>
              <w:rPr>
                <w:b w:val="false"/>
                <w:bCs w:val="false"/>
                <w:sz w:val="20"/>
                <w:szCs w:val="20"/>
              </w:rPr>
              <w:t xml:space="preserve">Versioned JSON files, keyed by error signature, holding every occurrence across all runs</w:t>
            </w:r>
          </w:p>
        </w:tc>
      </w:tr>
      <w:tr>
        <w:tc>
          <w:tcPr>
            <w:tcW w:type="dxa" w:w="1600"/>
            <w:tcMar>
              <w:top w:type="dxa" w:w="80"/>
              <w:left w:type="dxa" w:w="100"/>
              <w:bottom w:type="dxa" w:w="80"/>
              <w:right w:type="dxa" w:w="100"/>
            </w:tcMar>
          </w:tcPr>
          <w:p>
            <w:r>
              <w:rPr>
                <w:b w:val="false"/>
                <w:bCs w:val="false"/>
                <w:sz w:val="20"/>
                <w:szCs w:val="20"/>
              </w:rPr>
              <w:t xml:space="preserve">AI — Reporting</w:t>
            </w:r>
          </w:p>
        </w:tc>
        <w:tc>
          <w:tcPr>
            <w:tcW w:type="dxa" w:w="2400"/>
            <w:tcMar>
              <w:top w:type="dxa" w:w="80"/>
              <w:left w:type="dxa" w:w="100"/>
              <w:bottom w:type="dxa" w:w="80"/>
              <w:right w:type="dxa" w:w="100"/>
            </w:tcMar>
          </w:tcPr>
          <w:p>
            <w:r>
              <w:rPr>
                <w:b w:val="false"/>
                <w:bCs w:val="false"/>
                <w:sz w:val="20"/>
                <w:szCs w:val="20"/>
              </w:rPr>
              <w:t xml:space="preserve">allure-report-analysis (extended)</w:t>
            </w:r>
          </w:p>
        </w:tc>
        <w:tc>
          <w:tcPr>
            <w:tcW w:type="dxa" w:w="1400"/>
            <w:tcMar>
              <w:top w:type="dxa" w:w="80"/>
              <w:left w:type="dxa" w:w="100"/>
              <w:bottom w:type="dxa" w:w="80"/>
              <w:right w:type="dxa" w:w="100"/>
            </w:tcMar>
          </w:tcPr>
          <w:p>
            <w:r>
              <w:rPr>
                <w:b w:val="false"/>
                <w:bCs w:val="false"/>
                <w:sz w:val="20"/>
                <w:szCs w:val="20"/>
              </w:rPr>
              <w:t xml:space="preserve">Extend existing</w:t>
            </w:r>
          </w:p>
        </w:tc>
        <w:tc>
          <w:tcPr>
            <w:tcW w:type="dxa" w:w="3960"/>
            <w:tcMar>
              <w:top w:type="dxa" w:w="80"/>
              <w:left w:type="dxa" w:w="100"/>
              <w:bottom w:type="dxa" w:w="80"/>
              <w:right w:type="dxa" w:w="100"/>
            </w:tcMar>
          </w:tcPr>
          <w:p>
            <w:r>
              <w:rPr>
                <w:b w:val="false"/>
                <w:bCs w:val="false"/>
                <w:sz w:val="20"/>
                <w:szCs w:val="20"/>
              </w:rPr>
              <w:t xml:space="preserve">Plain-language run summary for the functional QA team</w:t>
            </w:r>
          </w:p>
        </w:tc>
      </w:tr>
      <w:tr>
        <w:tc>
          <w:tcPr>
            <w:tcW w:type="dxa" w:w="1600"/>
            <w:tcMar>
              <w:top w:type="dxa" w:w="80"/>
              <w:left w:type="dxa" w:w="100"/>
              <w:bottom w:type="dxa" w:w="80"/>
              <w:right w:type="dxa" w:w="100"/>
            </w:tcMar>
          </w:tcPr>
          <w:p>
            <w:r>
              <w:rPr>
                <w:b w:val="false"/>
                <w:bCs w:val="false"/>
                <w:sz w:val="20"/>
                <w:szCs w:val="20"/>
              </w:rPr>
              <w:t xml:space="preserve">AI — Trend/RCA</w:t>
            </w:r>
          </w:p>
        </w:tc>
        <w:tc>
          <w:tcPr>
            <w:tcW w:type="dxa" w:w="2400"/>
            <w:tcMar>
              <w:top w:type="dxa" w:w="80"/>
              <w:left w:type="dxa" w:w="100"/>
              <w:bottom w:type="dxa" w:w="80"/>
              <w:right w:type="dxa" w:w="100"/>
            </w:tcMar>
          </w:tcPr>
          <w:p>
            <w:r>
              <w:rPr>
                <w:b w:val="false"/>
                <w:bCs w:val="false"/>
                <w:sz w:val="20"/>
                <w:szCs w:val="20"/>
              </w:rPr>
              <w:t xml:space="preserve">issue-trend-analysis (skill)</w:t>
            </w:r>
          </w:p>
        </w:tc>
        <w:tc>
          <w:tcPr>
            <w:tcW w:type="dxa" w:w="1400"/>
            <w:tcMar>
              <w:top w:type="dxa" w:w="80"/>
              <w:left w:type="dxa" w:w="100"/>
              <w:bottom w:type="dxa" w:w="80"/>
              <w:right w:type="dxa" w:w="100"/>
            </w:tcMar>
          </w:tcPr>
          <w:p>
            <w:r>
              <w:rPr>
                <w:b w:val="false"/>
                <w:bCs w:val="false"/>
                <w:sz w:val="20"/>
                <w:szCs w:val="20"/>
              </w:rPr>
              <w:t xml:space="preserve">New</w:t>
            </w:r>
          </w:p>
        </w:tc>
        <w:tc>
          <w:tcPr>
            <w:tcW w:type="dxa" w:w="3960"/>
            <w:tcMar>
              <w:top w:type="dxa" w:w="80"/>
              <w:left w:type="dxa" w:w="100"/>
              <w:bottom w:type="dxa" w:w="80"/>
              <w:right w:type="dxa" w:w="100"/>
            </w:tcMar>
          </w:tcPr>
          <w:p>
            <w:r>
              <w:rPr>
                <w:b w:val="false"/>
                <w:bCs w:val="false"/>
                <w:sz w:val="20"/>
                <w:szCs w:val="20"/>
              </w:rPr>
              <w:t xml:space="preserve">Given an issue, returns history, trend direction, and suggested root cause / fix</w:t>
            </w:r>
          </w:p>
        </w:tc>
      </w:tr>
      <w:tr>
        <w:tc>
          <w:tcPr>
            <w:tcW w:type="dxa" w:w="1600"/>
            <w:tcMar>
              <w:top w:type="dxa" w:w="80"/>
              <w:left w:type="dxa" w:w="100"/>
              <w:bottom w:type="dxa" w:w="80"/>
              <w:right w:type="dxa" w:w="100"/>
            </w:tcMar>
          </w:tcPr>
          <w:p>
            <w:r>
              <w:rPr>
                <w:b w:val="false"/>
                <w:bCs w:val="false"/>
                <w:sz w:val="20"/>
                <w:szCs w:val="20"/>
              </w:rPr>
              <w:t xml:space="preserve">Delivery</w:t>
            </w:r>
          </w:p>
        </w:tc>
        <w:tc>
          <w:tcPr>
            <w:tcW w:type="dxa" w:w="2400"/>
            <w:tcMar>
              <w:top w:type="dxa" w:w="80"/>
              <w:left w:type="dxa" w:w="100"/>
              <w:bottom w:type="dxa" w:w="80"/>
              <w:right w:type="dxa" w:w="100"/>
            </w:tcMar>
          </w:tcPr>
          <w:p>
            <w:r>
              <w:rPr>
                <w:b w:val="false"/>
                <w:bCs w:val="false"/>
                <w:sz w:val="20"/>
                <w:szCs w:val="20"/>
              </w:rPr>
              <w:t xml:space="preserve">allure-weekly-reporter + weekly-qa-report</w:t>
            </w:r>
          </w:p>
        </w:tc>
        <w:tc>
          <w:tcPr>
            <w:tcW w:type="dxa" w:w="1400"/>
            <w:tcMar>
              <w:top w:type="dxa" w:w="80"/>
              <w:left w:type="dxa" w:w="100"/>
              <w:bottom w:type="dxa" w:w="80"/>
              <w:right w:type="dxa" w:w="100"/>
            </w:tcMar>
          </w:tcPr>
          <w:p>
            <w:r>
              <w:rPr>
                <w:b w:val="false"/>
                <w:bCs w:val="false"/>
                <w:sz w:val="20"/>
                <w:szCs w:val="20"/>
              </w:rPr>
              <w:t xml:space="preserve">Extend existing</w:t>
            </w:r>
          </w:p>
        </w:tc>
        <w:tc>
          <w:tcPr>
            <w:tcW w:type="dxa" w:w="3960"/>
            <w:tcMar>
              <w:top w:type="dxa" w:w="80"/>
              <w:left w:type="dxa" w:w="100"/>
              <w:bottom w:type="dxa" w:w="80"/>
              <w:right w:type="dxa" w:w="100"/>
            </w:tcMar>
          </w:tcPr>
          <w:p>
            <w:r>
              <w:rPr>
                <w:b w:val="false"/>
                <w:bCs w:val="false"/>
                <w:sz w:val="20"/>
                <w:szCs w:val="20"/>
              </w:rPr>
              <w:t xml:space="preserve">Adds an “investigate issue X” mode to the existing weekly flow</w:t>
            </w:r>
          </w:p>
        </w:tc>
      </w:tr>
      <w:tr>
        <w:tc>
          <w:tcPr>
            <w:tcW w:type="dxa" w:w="1600"/>
            <w:tcMar>
              <w:top w:type="dxa" w:w="80"/>
              <w:left w:type="dxa" w:w="100"/>
              <w:bottom w:type="dxa" w:w="80"/>
              <w:right w:type="dxa" w:w="100"/>
            </w:tcMar>
          </w:tcPr>
          <w:p>
            <w:r>
              <w:rPr>
                <w:b w:val="false"/>
                <w:bCs w:val="false"/>
                <w:sz w:val="20"/>
                <w:szCs w:val="20"/>
              </w:rPr>
              <w:t xml:space="preserve">Delivery</w:t>
            </w:r>
          </w:p>
        </w:tc>
        <w:tc>
          <w:tcPr>
            <w:tcW w:type="dxa" w:w="2400"/>
            <w:tcMar>
              <w:top w:type="dxa" w:w="80"/>
              <w:left w:type="dxa" w:w="100"/>
              <w:bottom w:type="dxa" w:w="80"/>
              <w:right w:type="dxa" w:w="100"/>
            </w:tcMar>
          </w:tcPr>
          <w:p>
            <w:r>
              <w:rPr>
                <w:b w:val="false"/>
                <w:bCs w:val="false"/>
                <w:sz w:val="20"/>
                <w:szCs w:val="20"/>
              </w:rPr>
              <w:t xml:space="preserve">Trend Dashboard (HTML)</w:t>
            </w:r>
          </w:p>
        </w:tc>
        <w:tc>
          <w:tcPr>
            <w:tcW w:type="dxa" w:w="1400"/>
            <w:tcMar>
              <w:top w:type="dxa" w:w="80"/>
              <w:left w:type="dxa" w:w="100"/>
              <w:bottom w:type="dxa" w:w="80"/>
              <w:right w:type="dxa" w:w="100"/>
            </w:tcMar>
          </w:tcPr>
          <w:p>
            <w:r>
              <w:rPr>
                <w:b w:val="false"/>
                <w:bCs w:val="false"/>
                <w:sz w:val="20"/>
                <w:szCs w:val="20"/>
              </w:rPr>
              <w:t xml:space="preserve">New</w:t>
            </w:r>
          </w:p>
        </w:tc>
        <w:tc>
          <w:tcPr>
            <w:tcW w:type="dxa" w:w="3960"/>
            <w:tcMar>
              <w:top w:type="dxa" w:w="80"/>
              <w:left w:type="dxa" w:w="100"/>
              <w:bottom w:type="dxa" w:w="80"/>
              <w:right w:type="dxa" w:w="100"/>
            </w:tcMar>
          </w:tcPr>
          <w:p>
            <w:r>
              <w:rPr>
                <w:b w:val="false"/>
                <w:bCs w:val="false"/>
                <w:sz w:val="20"/>
                <w:szCs w:val="20"/>
              </w:rPr>
              <w:t xml:space="preserve">Static HTML artifact generated from index.json each weekend run, showing trend charts per issue</w:t>
            </w:r>
          </w:p>
        </w:tc>
      </w:tr>
      <w:tr>
        <w:tc>
          <w:tcPr>
            <w:tcW w:type="dxa" w:w="1600"/>
            <w:tcMar>
              <w:top w:type="dxa" w:w="80"/>
              <w:left w:type="dxa" w:w="100"/>
              <w:bottom w:type="dxa" w:w="80"/>
              <w:right w:type="dxa" w:w="100"/>
            </w:tcMar>
          </w:tcPr>
          <w:p>
            <w:r>
              <w:rPr>
                <w:b w:val="false"/>
                <w:bCs w:val="false"/>
                <w:sz w:val="20"/>
                <w:szCs w:val="20"/>
              </w:rPr>
              <w:t xml:space="preserve">Governance</w:t>
            </w:r>
          </w:p>
        </w:tc>
        <w:tc>
          <w:tcPr>
            <w:tcW w:type="dxa" w:w="2400"/>
            <w:tcMar>
              <w:top w:type="dxa" w:w="80"/>
              <w:left w:type="dxa" w:w="100"/>
              <w:bottom w:type="dxa" w:w="80"/>
              <w:right w:type="dxa" w:w="100"/>
            </w:tcMar>
          </w:tcPr>
          <w:p>
            <w:r>
              <w:rPr>
                <w:b w:val="false"/>
                <w:bCs w:val="false"/>
                <w:sz w:val="20"/>
                <w:szCs w:val="20"/>
              </w:rPr>
              <w:t xml:space="preserve">Resolution Log</w:t>
            </w:r>
          </w:p>
        </w:tc>
        <w:tc>
          <w:tcPr>
            <w:tcW w:type="dxa" w:w="1400"/>
            <w:tcMar>
              <w:top w:type="dxa" w:w="80"/>
              <w:left w:type="dxa" w:w="100"/>
              <w:bottom w:type="dxa" w:w="80"/>
              <w:right w:type="dxa" w:w="100"/>
            </w:tcMar>
          </w:tcPr>
          <w:p>
            <w:r>
              <w:rPr>
                <w:b w:val="false"/>
                <w:bCs w:val="false"/>
                <w:sz w:val="20"/>
                <w:szCs w:val="20"/>
              </w:rPr>
              <w:t xml:space="preserve">New (process)</w:t>
            </w:r>
          </w:p>
        </w:tc>
        <w:tc>
          <w:tcPr>
            <w:tcW w:type="dxa" w:w="3960"/>
            <w:tcMar>
              <w:top w:type="dxa" w:w="80"/>
              <w:left w:type="dxa" w:w="100"/>
              <w:bottom w:type="dxa" w:w="80"/>
              <w:right w:type="dxa" w:w="100"/>
            </w:tcMar>
          </w:tcPr>
          <w:p>
            <w:r>
              <w:rPr>
                <w:b w:val="false"/>
                <w:bCs w:val="false"/>
                <w:sz w:val="20"/>
                <w:szCs w:val="20"/>
              </w:rPr>
              <w:t xml:space="preserve">Human-logged fix notes per resolved issue; feeds the RCA skill's context over time</w:t>
            </w:r>
          </w:p>
        </w:tc>
      </w:tr>
    </w:tbl>
    <w:p>
      <w:pPr>
        <w:pStyle w:val="Heading2"/>
        <w:spacing w:after="120" w:before="240"/>
      </w:pPr>
      <w:r>
        <w:t xml:space="preserve">3.2 Data Flow</w:t>
      </w:r>
    </w:p>
    <w:p>
      <w:pPr>
        <w:pStyle w:val="ListParagraph"/>
        <w:numPr>
          <w:ilvl w:val="0"/>
          <w:numId w:val="1"/>
        </w:numPr>
        <w:spacing w:after="80"/>
      </w:pPr>
      <w:r>
        <w:t xml:space="preserve">Weekend Azure DevOps run executes Cypress + Playwright suites, producing raw Allure results per framework</w:t>
      </w:r>
    </w:p>
    <w:p>
      <w:pPr>
        <w:pStyle w:val="ListParagraph"/>
        <w:numPr>
          <w:ilvl w:val="0"/>
          <w:numId w:val="1"/>
        </w:numPr>
        <w:spacing w:after="80"/>
      </w:pPr>
      <w:r>
        <w:t xml:space="preserve">Normalization Adapter runs immediately after test execution, before report generation, and writes one common schema</w:t>
      </w:r>
    </w:p>
    <w:p>
      <w:pPr>
        <w:pStyle w:val="ListParagraph"/>
        <w:numPr>
          <w:ilvl w:val="0"/>
          <w:numId w:val="1"/>
        </w:numPr>
        <w:spacing w:after="80"/>
      </w:pPr>
      <w:r>
        <w:t xml:space="preserve">Each failure is hashed into an error signature (dynamic values stripped) and upserted into the Historical Failure Store</w:t>
      </w:r>
    </w:p>
    <w:p>
      <w:pPr>
        <w:pStyle w:val="ListParagraph"/>
        <w:numPr>
          <w:ilvl w:val="0"/>
          <w:numId w:val="1"/>
        </w:numPr>
        <w:spacing w:after="80"/>
      </w:pPr>
      <w:r>
        <w:t xml:space="preserve">allure-report-analysis reads this run's normalized results and produces the functional-team summary</w:t>
      </w:r>
    </w:p>
    <w:p>
      <w:pPr>
        <w:pStyle w:val="ListParagraph"/>
        <w:numPr>
          <w:ilvl w:val="0"/>
          <w:numId w:val="1"/>
        </w:numPr>
        <w:spacing w:after="80"/>
      </w:pPr>
      <w:r>
        <w:t xml:space="preserve">On request (“investigate issue X”), issue-trend-analysis queries the store by signature and returns trend + RCA + suggested fix, enriched by any matching Resolution Log entries</w:t>
      </w:r>
    </w:p>
    <w:p>
      <w:pPr>
        <w:pStyle w:val="ListParagraph"/>
        <w:numPr>
          <w:ilvl w:val="0"/>
          <w:numId w:val="1"/>
        </w:numPr>
        <w:spacing w:after="80"/>
      </w:pPr>
      <w:r>
        <w:t xml:space="preserve">Alongside the weekly report, a small script reads index.json and regenerates a static HTML dashboard (a single self-contained file, no server or hosting needed) showing top recurring issues and per-issue trend charts</w:t>
      </w:r>
    </w:p>
    <w:p>
      <w:pPr>
        <w:pStyle w:val="Heading1"/>
        <w:spacing w:after="160" w:before="320"/>
      </w:pPr>
      <w:r>
        <w:t xml:space="preserve">4. Data Model</w:t>
      </w:r>
    </w:p>
    <w:p>
      <w:pPr>
        <w:pStyle w:val="Heading2"/>
        <w:spacing w:after="120" w:before="240"/>
      </w:pPr>
      <w:r>
        <w:t xml:space="preserve">4.1 Storage Format: JSON</w:t>
      </w:r>
    </w:p>
    <w:p>
      <w:pPr>
        <w:spacing w:after="140"/>
      </w:pPr>
      <w:r>
        <w:t xml:space="preserve">The Historical Failure Store is a set of JSON files rather than a database. This avoids standing up new infrastructure and keeps the store readable, diffable, and directly consumable by both the reporting and RCA skills without a query layer.</w:t>
      </w:r>
    </w:p>
    <w:p>
      <w:pPr>
        <w:pStyle w:val="ListParagraph"/>
        <w:numPr>
          <w:ilvl w:val="0"/>
          <w:numId w:val="1"/>
        </w:numPr>
        <w:spacing w:after="80"/>
      </w:pPr>
      <w:r>
        <w:t xml:space="preserve">Layout: /qa-history/signatures/&lt;error_signature&gt;.json — one file per issue, containing an array of every occurrence of that signature across all runs</w:t>
      </w:r>
    </w:p>
    <w:p>
      <w:pPr>
        <w:pStyle w:val="ListParagraph"/>
        <w:numPr>
          <w:ilvl w:val="0"/>
          <w:numId w:val="1"/>
        </w:numPr>
        <w:spacing w:after="80"/>
      </w:pPr>
      <w:r>
        <w:t xml:space="preserve">Layout: /qa-history/index.json — a lightweight index mapping signature → test name, framework, first-seen, last-seen, occurrence count, and current status, so the AI skills can look up or list issues without scanning every file</w:t>
      </w:r>
    </w:p>
    <w:p>
      <w:pPr>
        <w:pStyle w:val="ListParagraph"/>
        <w:numPr>
          <w:ilvl w:val="0"/>
          <w:numId w:val="1"/>
        </w:numPr>
        <w:spacing w:after="80"/>
      </w:pPr>
      <w:r>
        <w:t xml:space="preserve">Location: committed to the same Azure DevOps repo as the automation code (or a dedicated Azure Blob container if history volume grows large), so it version-controls itself and needs no separate hosting</w:t>
      </w:r>
    </w:p>
    <w:p>
      <w:pPr>
        <w:pStyle w:val="ListParagraph"/>
        <w:numPr>
          <w:ilvl w:val="0"/>
          <w:numId w:val="1"/>
        </w:numPr>
        <w:spacing w:after="80"/>
      </w:pPr>
      <w:r>
        <w:t xml:space="preserve">Write pattern: the weekend pipeline is the only writer, running sequentially, so there is no concurrent-write conflict to design around at this scale</w:t>
      </w:r>
    </w:p>
    <w:p>
      <w:pPr>
        <w:pStyle w:val="ListParagraph"/>
        <w:numPr>
          <w:ilvl w:val="0"/>
          <w:numId w:val="1"/>
        </w:numPr>
        <w:spacing w:after="80"/>
      </w:pPr>
      <w:r>
        <w:t xml:space="preserve">Trade-off accepted: JSON has no native query/aggregation layer. At this team's run volume that's a non-issue since the AI skill reads a signature's file (or the index) directly; if history volume grows enough that full-file reads become slow, migrating index.json into a small SQL table later is a contained change, not a rearchitecture</w:t>
      </w:r>
    </w:p>
    <w:p>
      <w:pPr>
        <w:pStyle w:val="Heading2"/>
        <w:spacing w:after="120" w:before="240"/>
      </w:pPr>
      <w:r>
        <w:t xml:space="preserve">4.2 Record Schema</w:t>
      </w:r>
    </w:p>
    <w:p>
      <w:pPr>
        <w:spacing w:after="140"/>
      </w:pPr>
      <w:r>
        <w:t xml:space="preserve">Fields stored per occurrence, inside each signature's JSON 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F4E78" w:val="clear"/>
            <w:tcMar>
              <w:top w:type="dxa" w:w="80"/>
              <w:left w:type="dxa" w:w="100"/>
              <w:bottom w:type="dxa" w:w="80"/>
              <w:right w:type="dxa" w:w="100"/>
            </w:tcMar>
          </w:tcPr>
          <w:p>
            <w:r>
              <w:rPr>
                <w:b/>
                <w:bCs/>
                <w:color w:val="FFFFFF"/>
                <w:sz w:val="20"/>
                <w:szCs w:val="20"/>
              </w:rPr>
              <w:t xml:space="preserve">Field</w:t>
            </w:r>
          </w:p>
        </w:tc>
        <w:tc>
          <w:tcPr>
            <w:tcW w:type="dxa" w:w="6960"/>
            <w:shd w:fill="1F4E78" w:val="clear"/>
            <w:tcMar>
              <w:top w:type="dxa" w:w="80"/>
              <w:left w:type="dxa" w:w="100"/>
              <w:bottom w:type="dxa" w:w="80"/>
              <w:right w:type="dxa" w:w="100"/>
            </w:tcMar>
          </w:tcPr>
          <w:p>
            <w:r>
              <w:rPr>
                <w:b/>
                <w:bCs/>
                <w:color w:val="FFFFFF"/>
                <w:sz w:val="20"/>
                <w:szCs w:val="20"/>
              </w:rPr>
              <w:t xml:space="preserve">Description</w:t>
            </w:r>
          </w:p>
        </w:tc>
      </w:tr>
      <w:tr>
        <w:tc>
          <w:tcPr>
            <w:tcW w:type="dxa" w:w="2400"/>
            <w:tcMar>
              <w:top w:type="dxa" w:w="80"/>
              <w:left w:type="dxa" w:w="100"/>
              <w:bottom w:type="dxa" w:w="80"/>
              <w:right w:type="dxa" w:w="100"/>
            </w:tcMar>
          </w:tcPr>
          <w:p>
            <w:r>
              <w:rPr>
                <w:b w:val="false"/>
                <w:bCs w:val="false"/>
                <w:sz w:val="20"/>
                <w:szCs w:val="20"/>
              </w:rPr>
              <w:t xml:space="preserve">error_signature</w:t>
            </w:r>
          </w:p>
        </w:tc>
        <w:tc>
          <w:tcPr>
            <w:tcW w:type="dxa" w:w="6960"/>
            <w:tcMar>
              <w:top w:type="dxa" w:w="80"/>
              <w:left w:type="dxa" w:w="100"/>
              <w:bottom w:type="dxa" w:w="80"/>
              <w:right w:type="dxa" w:w="100"/>
            </w:tcMar>
          </w:tcPr>
          <w:p>
            <w:r>
              <w:rPr>
                <w:b w:val="false"/>
                <w:bCs w:val="false"/>
                <w:sz w:val="20"/>
                <w:szCs w:val="20"/>
              </w:rPr>
              <w:t xml:space="preserve">Hash of the normalized error message with dynamic values (IDs, timestamps) stripped — groups the same underlying issue across runs</w:t>
            </w:r>
          </w:p>
        </w:tc>
      </w:tr>
      <w:tr>
        <w:tc>
          <w:tcPr>
            <w:tcW w:type="dxa" w:w="2400"/>
            <w:tcMar>
              <w:top w:type="dxa" w:w="80"/>
              <w:left w:type="dxa" w:w="100"/>
              <w:bottom w:type="dxa" w:w="80"/>
              <w:right w:type="dxa" w:w="100"/>
            </w:tcMar>
          </w:tcPr>
          <w:p>
            <w:r>
              <w:rPr>
                <w:b w:val="false"/>
                <w:bCs w:val="false"/>
                <w:sz w:val="20"/>
                <w:szCs w:val="20"/>
              </w:rPr>
              <w:t xml:space="preserve">test_id / suite</w:t>
            </w:r>
          </w:p>
        </w:tc>
        <w:tc>
          <w:tcPr>
            <w:tcW w:type="dxa" w:w="6960"/>
            <w:tcMar>
              <w:top w:type="dxa" w:w="80"/>
              <w:left w:type="dxa" w:w="100"/>
              <w:bottom w:type="dxa" w:w="80"/>
              <w:right w:type="dxa" w:w="100"/>
            </w:tcMar>
          </w:tcPr>
          <w:p>
            <w:r>
              <w:rPr>
                <w:b w:val="false"/>
                <w:bCs w:val="false"/>
                <w:sz w:val="20"/>
                <w:szCs w:val="20"/>
              </w:rPr>
              <w:t xml:space="preserve">Test and suite identifiers, common across Cypress and Playwright after normalization</w:t>
            </w:r>
          </w:p>
        </w:tc>
      </w:tr>
      <w:tr>
        <w:tc>
          <w:tcPr>
            <w:tcW w:type="dxa" w:w="2400"/>
            <w:tcMar>
              <w:top w:type="dxa" w:w="80"/>
              <w:left w:type="dxa" w:w="100"/>
              <w:bottom w:type="dxa" w:w="80"/>
              <w:right w:type="dxa" w:w="100"/>
            </w:tcMar>
          </w:tcPr>
          <w:p>
            <w:r>
              <w:rPr>
                <w:b w:val="false"/>
                <w:bCs w:val="false"/>
                <w:sz w:val="20"/>
                <w:szCs w:val="20"/>
              </w:rPr>
              <w:t xml:space="preserve">framework</w:t>
            </w:r>
          </w:p>
        </w:tc>
        <w:tc>
          <w:tcPr>
            <w:tcW w:type="dxa" w:w="6960"/>
            <w:tcMar>
              <w:top w:type="dxa" w:w="80"/>
              <w:left w:type="dxa" w:w="100"/>
              <w:bottom w:type="dxa" w:w="80"/>
              <w:right w:type="dxa" w:w="100"/>
            </w:tcMar>
          </w:tcPr>
          <w:p>
            <w:r>
              <w:rPr>
                <w:b w:val="false"/>
                <w:bCs w:val="false"/>
                <w:sz w:val="20"/>
                <w:szCs w:val="20"/>
              </w:rPr>
              <w:t xml:space="preserve">cypress | playwright</w:t>
            </w:r>
          </w:p>
        </w:tc>
      </w:tr>
      <w:tr>
        <w:tc>
          <w:tcPr>
            <w:tcW w:type="dxa" w:w="2400"/>
            <w:tcMar>
              <w:top w:type="dxa" w:w="80"/>
              <w:left w:type="dxa" w:w="100"/>
              <w:bottom w:type="dxa" w:w="80"/>
              <w:right w:type="dxa" w:w="100"/>
            </w:tcMar>
          </w:tcPr>
          <w:p>
            <w:r>
              <w:rPr>
                <w:b w:val="false"/>
                <w:bCs w:val="false"/>
                <w:sz w:val="20"/>
                <w:szCs w:val="20"/>
              </w:rPr>
              <w:t xml:space="preserve">status</w:t>
            </w:r>
          </w:p>
        </w:tc>
        <w:tc>
          <w:tcPr>
            <w:tcW w:type="dxa" w:w="6960"/>
            <w:tcMar>
              <w:top w:type="dxa" w:w="80"/>
              <w:left w:type="dxa" w:w="100"/>
              <w:bottom w:type="dxa" w:w="80"/>
              <w:right w:type="dxa" w:w="100"/>
            </w:tcMar>
          </w:tcPr>
          <w:p>
            <w:r>
              <w:rPr>
                <w:b w:val="false"/>
                <w:bCs w:val="false"/>
                <w:sz w:val="20"/>
                <w:szCs w:val="20"/>
              </w:rPr>
              <w:t xml:space="preserve">failed | flaky | passed-after-retry</w:t>
            </w:r>
          </w:p>
        </w:tc>
      </w:tr>
      <w:tr>
        <w:tc>
          <w:tcPr>
            <w:tcW w:type="dxa" w:w="2400"/>
            <w:tcMar>
              <w:top w:type="dxa" w:w="80"/>
              <w:left w:type="dxa" w:w="100"/>
              <w:bottom w:type="dxa" w:w="80"/>
              <w:right w:type="dxa" w:w="100"/>
            </w:tcMar>
          </w:tcPr>
          <w:p>
            <w:r>
              <w:rPr>
                <w:b w:val="false"/>
                <w:bCs w:val="false"/>
                <w:sz w:val="20"/>
                <w:szCs w:val="20"/>
              </w:rPr>
              <w:t xml:space="preserve">environment</w:t>
            </w:r>
          </w:p>
        </w:tc>
        <w:tc>
          <w:tcPr>
            <w:tcW w:type="dxa" w:w="6960"/>
            <w:tcMar>
              <w:top w:type="dxa" w:w="80"/>
              <w:left w:type="dxa" w:w="100"/>
              <w:bottom w:type="dxa" w:w="80"/>
              <w:right w:type="dxa" w:w="100"/>
            </w:tcMar>
          </w:tcPr>
          <w:p>
            <w:r>
              <w:rPr>
                <w:b w:val="false"/>
                <w:bCs w:val="false"/>
                <w:sz w:val="20"/>
                <w:szCs w:val="20"/>
              </w:rPr>
              <w:t xml:space="preserve">Target environment the run executed against</w:t>
            </w:r>
          </w:p>
        </w:tc>
      </w:tr>
      <w:tr>
        <w:tc>
          <w:tcPr>
            <w:tcW w:type="dxa" w:w="2400"/>
            <w:tcMar>
              <w:top w:type="dxa" w:w="80"/>
              <w:left w:type="dxa" w:w="100"/>
              <w:bottom w:type="dxa" w:w="80"/>
              <w:right w:type="dxa" w:w="100"/>
            </w:tcMar>
          </w:tcPr>
          <w:p>
            <w:r>
              <w:rPr>
                <w:b w:val="false"/>
                <w:bCs w:val="false"/>
                <w:sz w:val="20"/>
                <w:szCs w:val="20"/>
              </w:rPr>
              <w:t xml:space="preserve">run_id / timestamp</w:t>
            </w:r>
          </w:p>
        </w:tc>
        <w:tc>
          <w:tcPr>
            <w:tcW w:type="dxa" w:w="6960"/>
            <w:tcMar>
              <w:top w:type="dxa" w:w="80"/>
              <w:left w:type="dxa" w:w="100"/>
              <w:bottom w:type="dxa" w:w="80"/>
              <w:right w:type="dxa" w:w="100"/>
            </w:tcMar>
          </w:tcPr>
          <w:p>
            <w:r>
              <w:rPr>
                <w:b w:val="false"/>
                <w:bCs w:val="false"/>
                <w:sz w:val="20"/>
                <w:szCs w:val="20"/>
              </w:rPr>
              <w:t xml:space="preserve">Links back to the originating Azure DevOps run</w:t>
            </w:r>
          </w:p>
        </w:tc>
      </w:tr>
      <w:tr>
        <w:tc>
          <w:tcPr>
            <w:tcW w:type="dxa" w:w="2400"/>
            <w:tcMar>
              <w:top w:type="dxa" w:w="80"/>
              <w:left w:type="dxa" w:w="100"/>
              <w:bottom w:type="dxa" w:w="80"/>
              <w:right w:type="dxa" w:w="100"/>
            </w:tcMar>
          </w:tcPr>
          <w:p>
            <w:r>
              <w:rPr>
                <w:b w:val="false"/>
                <w:bCs w:val="false"/>
                <w:sz w:val="20"/>
                <w:szCs w:val="20"/>
              </w:rPr>
              <w:t xml:space="preserve">error_message / stack_excerpt</w:t>
            </w:r>
          </w:p>
        </w:tc>
        <w:tc>
          <w:tcPr>
            <w:tcW w:type="dxa" w:w="6960"/>
            <w:tcMar>
              <w:top w:type="dxa" w:w="80"/>
              <w:left w:type="dxa" w:w="100"/>
              <w:bottom w:type="dxa" w:w="80"/>
              <w:right w:type="dxa" w:w="100"/>
            </w:tcMar>
          </w:tcPr>
          <w:p>
            <w:r>
              <w:rPr>
                <w:b w:val="false"/>
                <w:bCs w:val="false"/>
                <w:sz w:val="20"/>
                <w:szCs w:val="20"/>
              </w:rPr>
              <w:t xml:space="preserve">Raw detail, kept for display and re-hashing if the signature logic changes</w:t>
            </w:r>
          </w:p>
        </w:tc>
      </w:tr>
      <w:tr>
        <w:tc>
          <w:tcPr>
            <w:tcW w:type="dxa" w:w="2400"/>
            <w:tcMar>
              <w:top w:type="dxa" w:w="80"/>
              <w:left w:type="dxa" w:w="100"/>
              <w:bottom w:type="dxa" w:w="80"/>
              <w:right w:type="dxa" w:w="100"/>
            </w:tcMar>
          </w:tcPr>
          <w:p>
            <w:r>
              <w:rPr>
                <w:b w:val="false"/>
                <w:bCs w:val="false"/>
                <w:sz w:val="20"/>
                <w:szCs w:val="20"/>
              </w:rPr>
              <w:t xml:space="preserve">resolution_ref</w:t>
            </w:r>
          </w:p>
        </w:tc>
        <w:tc>
          <w:tcPr>
            <w:tcW w:type="dxa" w:w="6960"/>
            <w:tcMar>
              <w:top w:type="dxa" w:w="80"/>
              <w:left w:type="dxa" w:w="100"/>
              <w:bottom w:type="dxa" w:w="80"/>
              <w:right w:type="dxa" w:w="100"/>
            </w:tcMar>
          </w:tcPr>
          <w:p>
            <w:r>
              <w:rPr>
                <w:b w:val="false"/>
                <w:bCs w:val="false"/>
                <w:sz w:val="20"/>
                <w:szCs w:val="20"/>
              </w:rPr>
              <w:t xml:space="preserve">Optional link into the Resolution Log once the issue has been fixed</w:t>
            </w:r>
          </w:p>
        </w:tc>
      </w:tr>
    </w:tbl>
    <w:p>
      <w:pPr>
        <w:pStyle w:val="Heading1"/>
        <w:spacing w:after="160" w:before="320"/>
      </w:pPr>
      <w:r>
        <w:t xml:space="preserve">5. Phased Rollout Plan</w:t>
      </w:r>
    </w:p>
    <w:p>
      <w:pPr>
        <w:spacing w:after="140"/>
      </w:pPr>
      <w:r>
        <w:t xml:space="preserve">Sequenced by dependency, not by preference — trend and RCA cannot function without the historical store, and the store needs several weeks of accumulated data before trends are meaningful.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60"/>
        <w:gridCol w:w="2100"/>
        <w:gridCol w:w="3600"/>
      </w:tblGrid>
      <w:tr>
        <w:trPr>
          <w:tblHeader/>
        </w:trPr>
        <w:tc>
          <w:tcPr>
            <w:tcW w:type="dxa" w:w="900"/>
            <w:shd w:fill="1F4E78" w:val="clear"/>
            <w:tcMar>
              <w:top w:type="dxa" w:w="80"/>
              <w:left w:type="dxa" w:w="100"/>
              <w:bottom w:type="dxa" w:w="80"/>
              <w:right w:type="dxa" w:w="100"/>
            </w:tcMar>
          </w:tcPr>
          <w:p>
            <w:r>
              <w:rPr>
                <w:b/>
                <w:bCs/>
                <w:color w:val="FFFFFF"/>
                <w:sz w:val="20"/>
                <w:szCs w:val="20"/>
              </w:rPr>
              <w:t xml:space="preserve">Phase</w:t>
            </w:r>
          </w:p>
        </w:tc>
        <w:tc>
          <w:tcPr>
            <w:tcW w:type="dxa" w:w="2760"/>
            <w:shd w:fill="1F4E78" w:val="clear"/>
            <w:tcMar>
              <w:top w:type="dxa" w:w="80"/>
              <w:left w:type="dxa" w:w="100"/>
              <w:bottom w:type="dxa" w:w="80"/>
              <w:right w:type="dxa" w:w="100"/>
            </w:tcMar>
          </w:tcPr>
          <w:p>
            <w:r>
              <w:rPr>
                <w:b/>
                <w:bCs/>
                <w:color w:val="FFFFFF"/>
                <w:sz w:val="20"/>
                <w:szCs w:val="20"/>
              </w:rPr>
              <w:t xml:space="preserve">Deliverable</w:t>
            </w:r>
          </w:p>
        </w:tc>
        <w:tc>
          <w:tcPr>
            <w:tcW w:type="dxa" w:w="2100"/>
            <w:shd w:fill="1F4E78" w:val="clear"/>
            <w:tcMar>
              <w:top w:type="dxa" w:w="80"/>
              <w:left w:type="dxa" w:w="100"/>
              <w:bottom w:type="dxa" w:w="80"/>
              <w:right w:type="dxa" w:w="100"/>
            </w:tcMar>
          </w:tcPr>
          <w:p>
            <w:r>
              <w:rPr>
                <w:b/>
                <w:bCs/>
                <w:color w:val="FFFFFF"/>
                <w:sz w:val="20"/>
                <w:szCs w:val="20"/>
              </w:rPr>
              <w:t xml:space="preserve">Depends On</w:t>
            </w:r>
          </w:p>
        </w:tc>
        <w:tc>
          <w:tcPr>
            <w:tcW w:type="dxa" w:w="3600"/>
            <w:shd w:fill="1F4E78" w:val="clear"/>
            <w:tcMar>
              <w:top w:type="dxa" w:w="80"/>
              <w:left w:type="dxa" w:w="100"/>
              <w:bottom w:type="dxa" w:w="80"/>
              <w:right w:type="dxa" w:w="100"/>
            </w:tcMar>
          </w:tcPr>
          <w:p>
            <w:r>
              <w:rPr>
                <w:b/>
                <w:bCs/>
                <w:color w:val="FFFFFF"/>
                <w:sz w:val="20"/>
                <w:szCs w:val="20"/>
              </w:rPr>
              <w:t xml:space="preserve">Rationale / Trade-off</w:t>
            </w:r>
          </w:p>
        </w:tc>
      </w:tr>
      <w:tr>
        <w:tc>
          <w:tcPr>
            <w:tcW w:type="dxa" w:w="900"/>
            <w:tcMar>
              <w:top w:type="dxa" w:w="80"/>
              <w:left w:type="dxa" w:w="100"/>
              <w:bottom w:type="dxa" w:w="80"/>
              <w:right w:type="dxa" w:w="100"/>
            </w:tcMar>
          </w:tcPr>
          <w:p>
            <w:r>
              <w:rPr>
                <w:b w:val="false"/>
                <w:bCs w:val="false"/>
                <w:sz w:val="20"/>
                <w:szCs w:val="20"/>
              </w:rPr>
              <w:t xml:space="preserve">1</w:t>
            </w:r>
          </w:p>
        </w:tc>
        <w:tc>
          <w:tcPr>
            <w:tcW w:type="dxa" w:w="2760"/>
            <w:tcMar>
              <w:top w:type="dxa" w:w="80"/>
              <w:left w:type="dxa" w:w="100"/>
              <w:bottom w:type="dxa" w:w="80"/>
              <w:right w:type="dxa" w:w="100"/>
            </w:tcMar>
          </w:tcPr>
          <w:p>
            <w:r>
              <w:rPr>
                <w:b w:val="false"/>
                <w:bCs w:val="false"/>
                <w:sz w:val="20"/>
                <w:szCs w:val="20"/>
              </w:rPr>
              <w:t xml:space="preserve">Normalization Adapter + JSON Historical Failure Store</w:t>
            </w:r>
          </w:p>
        </w:tc>
        <w:tc>
          <w:tcPr>
            <w:tcW w:type="dxa" w:w="2100"/>
            <w:tcMar>
              <w:top w:type="dxa" w:w="80"/>
              <w:left w:type="dxa" w:w="100"/>
              <w:bottom w:type="dxa" w:w="80"/>
              <w:right w:type="dxa" w:w="100"/>
            </w:tcMar>
          </w:tcPr>
          <w:p>
            <w:r>
              <w:rPr>
                <w:b w:val="false"/>
                <w:bCs w:val="false"/>
                <w:sz w:val="20"/>
                <w:szCs w:val="20"/>
              </w:rPr>
              <w:t xml:space="preserve">None — build first</w:t>
            </w:r>
          </w:p>
        </w:tc>
        <w:tc>
          <w:tcPr>
            <w:tcW w:type="dxa" w:w="3600"/>
            <w:tcMar>
              <w:top w:type="dxa" w:w="80"/>
              <w:left w:type="dxa" w:w="100"/>
              <w:bottom w:type="dxa" w:w="80"/>
              <w:right w:type="dxa" w:w="100"/>
            </w:tcMar>
          </w:tcPr>
          <w:p>
            <w:r>
              <w:rPr>
                <w:b w:val="false"/>
                <w:bCs w:val="false"/>
                <w:sz w:val="20"/>
                <w:szCs w:val="20"/>
              </w:rPr>
              <w:t xml:space="preserve">Blocking dependency for every later phase. No trend or RCA capability is possible without this.</w:t>
            </w:r>
          </w:p>
        </w:tc>
      </w:tr>
      <w:tr>
        <w:tc>
          <w:tcPr>
            <w:tcW w:type="dxa" w:w="900"/>
            <w:tcMar>
              <w:top w:type="dxa" w:w="80"/>
              <w:left w:type="dxa" w:w="100"/>
              <w:bottom w:type="dxa" w:w="80"/>
              <w:right w:type="dxa" w:w="100"/>
            </w:tcMar>
          </w:tcPr>
          <w:p>
            <w:r>
              <w:rPr>
                <w:b w:val="false"/>
                <w:bCs w:val="false"/>
                <w:sz w:val="20"/>
                <w:szCs w:val="20"/>
              </w:rPr>
              <w:t xml:space="preserve">2</w:t>
            </w:r>
          </w:p>
        </w:tc>
        <w:tc>
          <w:tcPr>
            <w:tcW w:type="dxa" w:w="2760"/>
            <w:tcMar>
              <w:top w:type="dxa" w:w="80"/>
              <w:left w:type="dxa" w:w="100"/>
              <w:bottom w:type="dxa" w:w="80"/>
              <w:right w:type="dxa" w:w="100"/>
            </w:tcMar>
          </w:tcPr>
          <w:p>
            <w:r>
              <w:rPr>
                <w:b w:val="false"/>
                <w:bCs w:val="false"/>
                <w:sz w:val="20"/>
                <w:szCs w:val="20"/>
              </w:rPr>
              <w:t xml:space="preserve">Extended allure-report-analysis summarization</w:t>
            </w:r>
          </w:p>
        </w:tc>
        <w:tc>
          <w:tcPr>
            <w:tcW w:type="dxa" w:w="2100"/>
            <w:tcMar>
              <w:top w:type="dxa" w:w="80"/>
              <w:left w:type="dxa" w:w="100"/>
              <w:bottom w:type="dxa" w:w="80"/>
              <w:right w:type="dxa" w:w="100"/>
            </w:tcMar>
          </w:tcPr>
          <w:p>
            <w:r>
              <w:rPr>
                <w:b w:val="false"/>
                <w:bCs w:val="false"/>
                <w:sz w:val="20"/>
                <w:szCs w:val="20"/>
              </w:rPr>
              <w:t xml:space="preserve">Phase 1 (schema only)</w:t>
            </w:r>
          </w:p>
        </w:tc>
        <w:tc>
          <w:tcPr>
            <w:tcW w:type="dxa" w:w="3600"/>
            <w:tcMar>
              <w:top w:type="dxa" w:w="80"/>
              <w:left w:type="dxa" w:w="100"/>
              <w:bottom w:type="dxa" w:w="80"/>
              <w:right w:type="dxa" w:w="100"/>
            </w:tcMar>
          </w:tcPr>
          <w:p>
            <w:r>
              <w:rPr>
                <w:b w:val="false"/>
                <w:bCs w:val="false"/>
                <w:sz w:val="20"/>
                <w:szCs w:val="20"/>
              </w:rPr>
              <w:t xml:space="preserve">Can ship in parallel with Phase 1 completion; reuses the existing skill rather than building new</w:t>
            </w:r>
          </w:p>
        </w:tc>
      </w:tr>
      <w:tr>
        <w:tc>
          <w:tcPr>
            <w:tcW w:type="dxa" w:w="900"/>
            <w:tcMar>
              <w:top w:type="dxa" w:w="80"/>
              <w:left w:type="dxa" w:w="100"/>
              <w:bottom w:type="dxa" w:w="80"/>
              <w:right w:type="dxa" w:w="100"/>
            </w:tcMar>
          </w:tcPr>
          <w:p>
            <w:r>
              <w:rPr>
                <w:b w:val="false"/>
                <w:bCs w:val="false"/>
                <w:sz w:val="20"/>
                <w:szCs w:val="20"/>
              </w:rPr>
              <w:t xml:space="preserve">3</w:t>
            </w:r>
          </w:p>
        </w:tc>
        <w:tc>
          <w:tcPr>
            <w:tcW w:type="dxa" w:w="2760"/>
            <w:tcMar>
              <w:top w:type="dxa" w:w="80"/>
              <w:left w:type="dxa" w:w="100"/>
              <w:bottom w:type="dxa" w:w="80"/>
              <w:right w:type="dxa" w:w="100"/>
            </w:tcMar>
          </w:tcPr>
          <w:p>
            <w:r>
              <w:rPr>
                <w:b w:val="false"/>
                <w:bCs w:val="false"/>
                <w:sz w:val="20"/>
                <w:szCs w:val="20"/>
              </w:rPr>
              <w:t xml:space="preserve">issue-trend-analysis skill (trend + RCA)</w:t>
            </w:r>
          </w:p>
        </w:tc>
        <w:tc>
          <w:tcPr>
            <w:tcW w:type="dxa" w:w="2100"/>
            <w:tcMar>
              <w:top w:type="dxa" w:w="80"/>
              <w:left w:type="dxa" w:w="100"/>
              <w:bottom w:type="dxa" w:w="80"/>
              <w:right w:type="dxa" w:w="100"/>
            </w:tcMar>
          </w:tcPr>
          <w:p>
            <w:r>
              <w:rPr>
                <w:b w:val="false"/>
                <w:bCs w:val="false"/>
                <w:sz w:val="20"/>
                <w:szCs w:val="20"/>
              </w:rPr>
              <w:t xml:space="preserve">Phase 1, plus 4–6 weeks of accumulated run data</w:t>
            </w:r>
          </w:p>
        </w:tc>
        <w:tc>
          <w:tcPr>
            <w:tcW w:type="dxa" w:w="3600"/>
            <w:tcMar>
              <w:top w:type="dxa" w:w="80"/>
              <w:left w:type="dxa" w:w="100"/>
              <w:bottom w:type="dxa" w:w="80"/>
              <w:right w:type="dxa" w:w="100"/>
            </w:tcMar>
          </w:tcPr>
          <w:p>
            <w:r>
              <w:rPr>
                <w:b w:val="false"/>
                <w:bCs w:val="false"/>
                <w:sz w:val="20"/>
                <w:szCs w:val="20"/>
              </w:rPr>
              <w:t xml:space="preserve">Trend signal is unreliable on a thin data history; do not launch this to the team until the store has meaningful depth</w:t>
            </w:r>
          </w:p>
        </w:tc>
      </w:tr>
      <w:tr>
        <w:tc>
          <w:tcPr>
            <w:tcW w:type="dxa" w:w="900"/>
            <w:tcMar>
              <w:top w:type="dxa" w:w="80"/>
              <w:left w:type="dxa" w:w="100"/>
              <w:bottom w:type="dxa" w:w="80"/>
              <w:right w:type="dxa" w:w="100"/>
            </w:tcMar>
          </w:tcPr>
          <w:p>
            <w:r>
              <w:rPr>
                <w:b w:val="false"/>
                <w:bCs w:val="false"/>
                <w:sz w:val="20"/>
                <w:szCs w:val="20"/>
              </w:rPr>
              <w:t xml:space="preserve">4</w:t>
            </w:r>
          </w:p>
        </w:tc>
        <w:tc>
          <w:tcPr>
            <w:tcW w:type="dxa" w:w="2760"/>
            <w:tcMar>
              <w:top w:type="dxa" w:w="80"/>
              <w:left w:type="dxa" w:w="100"/>
              <w:bottom w:type="dxa" w:w="80"/>
              <w:right w:type="dxa" w:w="100"/>
            </w:tcMar>
          </w:tcPr>
          <w:p>
            <w:r>
              <w:rPr>
                <w:b w:val="false"/>
                <w:bCs w:val="false"/>
                <w:sz w:val="20"/>
                <w:szCs w:val="20"/>
              </w:rPr>
              <w:t xml:space="preserve">Resolution Log process + RAG enrichment</w:t>
            </w:r>
          </w:p>
        </w:tc>
        <w:tc>
          <w:tcPr>
            <w:tcW w:type="dxa" w:w="2100"/>
            <w:tcMar>
              <w:top w:type="dxa" w:w="80"/>
              <w:left w:type="dxa" w:w="100"/>
              <w:bottom w:type="dxa" w:w="80"/>
              <w:right w:type="dxa" w:w="100"/>
            </w:tcMar>
          </w:tcPr>
          <w:p>
            <w:r>
              <w:rPr>
                <w:b w:val="false"/>
                <w:bCs w:val="false"/>
                <w:sz w:val="20"/>
                <w:szCs w:val="20"/>
              </w:rPr>
              <w:t xml:space="preserve">Phase 3</w:t>
            </w:r>
          </w:p>
        </w:tc>
        <w:tc>
          <w:tcPr>
            <w:tcW w:type="dxa" w:w="3600"/>
            <w:tcMar>
              <w:top w:type="dxa" w:w="80"/>
              <w:left w:type="dxa" w:w="100"/>
              <w:bottom w:type="dxa" w:w="80"/>
              <w:right w:type="dxa" w:w="100"/>
            </w:tcMar>
          </w:tcPr>
          <w:p>
            <w:r>
              <w:rPr>
                <w:b w:val="false"/>
                <w:bCs w:val="false"/>
                <w:sz w:val="20"/>
                <w:szCs w:val="20"/>
              </w:rPr>
              <w:t xml:space="preserve">Requires a team habit change (logging fixes). Accuracy of RCA suggestions compounds only once this is adopted</w:t>
            </w:r>
          </w:p>
        </w:tc>
      </w:tr>
      <w:tr>
        <w:tc>
          <w:tcPr>
            <w:tcW w:type="dxa" w:w="900"/>
            <w:tcMar>
              <w:top w:type="dxa" w:w="80"/>
              <w:left w:type="dxa" w:w="100"/>
              <w:bottom w:type="dxa" w:w="80"/>
              <w:right w:type="dxa" w:w="100"/>
            </w:tcMar>
          </w:tcPr>
          <w:p>
            <w:r>
              <w:rPr>
                <w:b w:val="false"/>
                <w:bCs w:val="false"/>
                <w:sz w:val="20"/>
                <w:szCs w:val="20"/>
              </w:rPr>
              <w:t xml:space="preserve">5 (future, governance-gated)</w:t>
            </w:r>
          </w:p>
        </w:tc>
        <w:tc>
          <w:tcPr>
            <w:tcW w:type="dxa" w:w="2760"/>
            <w:tcMar>
              <w:top w:type="dxa" w:w="80"/>
              <w:left w:type="dxa" w:w="100"/>
              <w:bottom w:type="dxa" w:w="80"/>
              <w:right w:type="dxa" w:w="100"/>
            </w:tcMar>
          </w:tcPr>
          <w:p>
            <w:r>
              <w:rPr>
                <w:b w:val="false"/>
                <w:bCs w:val="false"/>
                <w:sz w:val="20"/>
                <w:szCs w:val="20"/>
              </w:rPr>
              <w:t xml:space="preserve">Auto-filing ADO defects from confirmed recurring issues</w:t>
            </w:r>
          </w:p>
        </w:tc>
        <w:tc>
          <w:tcPr>
            <w:tcW w:type="dxa" w:w="2100"/>
            <w:tcMar>
              <w:top w:type="dxa" w:w="80"/>
              <w:left w:type="dxa" w:w="100"/>
              <w:bottom w:type="dxa" w:w="80"/>
              <w:right w:type="dxa" w:w="100"/>
            </w:tcMar>
          </w:tcPr>
          <w:p>
            <w:r>
              <w:rPr>
                <w:b w:val="false"/>
                <w:bCs w:val="false"/>
                <w:sz w:val="20"/>
                <w:szCs w:val="20"/>
              </w:rPr>
              <w:t xml:space="preserve">Phases 1–4 stable in production</w:t>
            </w:r>
          </w:p>
        </w:tc>
        <w:tc>
          <w:tcPr>
            <w:tcW w:type="dxa" w:w="3600"/>
            <w:tcMar>
              <w:top w:type="dxa" w:w="80"/>
              <w:left w:type="dxa" w:w="100"/>
              <w:bottom w:type="dxa" w:w="80"/>
              <w:right w:type="dxa" w:w="100"/>
            </w:tcMar>
          </w:tcPr>
          <w:p>
            <w:r>
              <w:rPr>
                <w:b w:val="false"/>
                <w:bCs w:val="false"/>
                <w:sz w:val="20"/>
                <w:szCs w:val="20"/>
              </w:rPr>
              <w:t xml:space="preserve">Write access to ADO is a higher governance tier — matches the existing execution-first, ADO-writing-later sequencing already established for this team</w:t>
            </w:r>
          </w:p>
        </w:tc>
      </w:tr>
    </w:tbl>
    <w:p>
      <w:pPr>
        <w:pStyle w:val="Heading1"/>
        <w:spacing w:after="160" w:before="320"/>
      </w:pPr>
      <w:r>
        <w:t xml:space="preserve">6. Governance Alignment</w:t>
      </w:r>
    </w:p>
    <w:p>
      <w:pPr>
        <w:spacing w:after="140"/>
      </w:pPr>
      <w:r>
        <w:t xml:space="preserve">This design follows the same governance-risk sequencing already applied to this team's AI-led STLC blueprint: read-only execution and reporting AI ships first; any AI action that writes to a system of record (ADO defects) is held for a later, explicitly gated phase. Phases 1–4 in this document are entirely read/summarize/suggest — no autonomous write actions.</w:t>
      </w:r>
    </w:p>
    <w:p>
      <w:pPr>
        <w:pStyle w:val="Heading1"/>
        <w:spacing w:after="160" w:before="320"/>
      </w:pPr>
      <w:r>
        <w:t xml:space="preserve">7. Component Design &amp; Pseudocode</w:t>
      </w:r>
    </w:p>
    <w:p>
      <w:pPr>
        <w:spacing w:after="140"/>
      </w:pPr>
      <w:r>
        <w:t xml:space="preserve">Implementation-level detail for the four new/extended components, sufficient to hand off to a developer without further design discussion.</w:t>
      </w:r>
    </w:p>
    <w:p>
      <w:pPr>
        <w:pStyle w:val="Heading2"/>
        <w:spacing w:after="120" w:before="240"/>
      </w:pPr>
      <w:r>
        <w:t xml:space="preserve">7.1 Allure Normalization Adapter</w:t>
      </w:r>
    </w:p>
    <w:p>
      <w:pPr>
        <w:spacing w:after="140"/>
      </w:pPr>
      <w:r>
        <w:t xml:space="preserve">Runs immediately after test execution, before Allure report generation. Converts both frameworks' raw output into the common schema (Section 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20"/>
              <w:left w:type="dxa" w:w="160"/>
              <w:bottom w:type="dxa" w:w="120"/>
              <w:right w:type="dxa" w:w="160"/>
            </w:tcMar>
          </w:tcPr>
          <w:p>
            <w:pPr>
              <w:spacing w:after="0"/>
            </w:pPr>
            <w:r>
              <w:rPr>
                <w:rFonts w:ascii="Courier New" w:cs="Courier New" w:eastAsia="Courier New" w:hAnsi="Courier New"/>
                <w:sz w:val="18"/>
                <w:szCs w:val="18"/>
              </w:rPr>
              <w:t xml:space="preserve">function normalize(rawResult, framework):</w:t>
            </w:r>
          </w:p>
          <w:p>
            <w:pPr>
              <w:spacing w:after="0"/>
            </w:pPr>
            <w:r>
              <w:rPr>
                <w:rFonts w:ascii="Courier New" w:cs="Courier New" w:eastAsia="Courier New" w:hAnsi="Courier New"/>
                <w:sz w:val="18"/>
                <w:szCs w:val="18"/>
              </w:rPr>
              <w:t xml:space="preserve">    return {</w:t>
            </w:r>
          </w:p>
          <w:p>
            <w:pPr>
              <w:spacing w:after="0"/>
            </w:pPr>
            <w:r>
              <w:rPr>
                <w:rFonts w:ascii="Courier New" w:cs="Courier New" w:eastAsia="Courier New" w:hAnsi="Courier New"/>
                <w:sz w:val="18"/>
                <w:szCs w:val="18"/>
              </w:rPr>
              <w:t xml:space="preserve">        test_id: extractTestId(rawResult, framework),</w:t>
            </w:r>
          </w:p>
          <w:p>
            <w:pPr>
              <w:spacing w:after="0"/>
            </w:pPr>
            <w:r>
              <w:rPr>
                <w:rFonts w:ascii="Courier New" w:cs="Courier New" w:eastAsia="Courier New" w:hAnsi="Courier New"/>
                <w:sz w:val="18"/>
                <w:szCs w:val="18"/>
              </w:rPr>
              <w:t xml:space="preserve">        suite: rawResult.suite,</w:t>
            </w:r>
          </w:p>
          <w:p>
            <w:pPr>
              <w:spacing w:after="0"/>
            </w:pPr>
            <w:r>
              <w:rPr>
                <w:rFonts w:ascii="Courier New" w:cs="Courier New" w:eastAsia="Courier New" w:hAnsi="Courier New"/>
                <w:sz w:val="18"/>
                <w:szCs w:val="18"/>
              </w:rPr>
              <w:t xml:space="preserve">        framework: framework,              // "cypress" | "playwright"</w:t>
            </w:r>
          </w:p>
          <w:p>
            <w:pPr>
              <w:spacing w:after="0"/>
            </w:pPr>
            <w:r>
              <w:rPr>
                <w:rFonts w:ascii="Courier New" w:cs="Courier New" w:eastAsia="Courier New" w:hAnsi="Courier New"/>
                <w:sz w:val="18"/>
                <w:szCs w:val="18"/>
              </w:rPr>
              <w:t xml:space="preserve">        status: mapStatus(rawResult.status),</w:t>
            </w:r>
          </w:p>
          <w:p>
            <w:pPr>
              <w:spacing w:after="0"/>
            </w:pPr>
            <w:r>
              <w:rPr>
                <w:rFonts w:ascii="Courier New" w:cs="Courier New" w:eastAsia="Courier New" w:hAnsi="Courier New"/>
                <w:sz w:val="18"/>
                <w:szCs w:val="18"/>
              </w:rPr>
              <w:t xml:space="preserve">        error_message: rawResult.error?.message ?? null,</w:t>
            </w:r>
          </w:p>
          <w:p>
            <w:pPr>
              <w:spacing w:after="0"/>
            </w:pPr>
            <w:r>
              <w:rPr>
                <w:rFonts w:ascii="Courier New" w:cs="Courier New" w:eastAsia="Courier New" w:hAnsi="Courier New"/>
                <w:sz w:val="18"/>
                <w:szCs w:val="18"/>
              </w:rPr>
              <w:t xml:space="preserve">        stack_excerpt: truncate(rawResult.error?.stack, 500),</w:t>
            </w:r>
          </w:p>
          <w:p>
            <w:pPr>
              <w:spacing w:after="0"/>
            </w:pPr>
            <w:r>
              <w:rPr>
                <w:rFonts w:ascii="Courier New" w:cs="Courier New" w:eastAsia="Courier New" w:hAnsi="Courier New"/>
                <w:sz w:val="18"/>
                <w:szCs w:val="18"/>
              </w:rPr>
              <w:t xml:space="preserve">        environment: process.env.TEST_ENV,</w:t>
            </w:r>
          </w:p>
          <w:p>
            <w:pPr>
              <w:spacing w:after="0"/>
            </w:pPr>
            <w:r>
              <w:rPr>
                <w:rFonts w:ascii="Courier New" w:cs="Courier New" w:eastAsia="Courier New" w:hAnsi="Courier New"/>
                <w:sz w:val="18"/>
                <w:szCs w:val="18"/>
              </w:rPr>
              <w:t xml:space="preserve">        run_id: process.env.BUILD_ID,</w:t>
            </w:r>
          </w:p>
          <w:p>
            <w:pPr>
              <w:spacing w:after="0"/>
            </w:pPr>
            <w:r>
              <w:rPr>
                <w:rFonts w:ascii="Courier New" w:cs="Courier New" w:eastAsia="Courier New" w:hAnsi="Courier New"/>
                <w:sz w:val="18"/>
                <w:szCs w:val="18"/>
              </w:rPr>
              <w:t xml:space="preserve">        timestamp: now()</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for each rawResult in [cypressResults, playwrightResults]:</w:t>
            </w:r>
          </w:p>
          <w:p>
            <w:pPr>
              <w:spacing w:after="0"/>
            </w:pPr>
            <w:r>
              <w:rPr>
                <w:rFonts w:ascii="Courier New" w:cs="Courier New" w:eastAsia="Courier New" w:hAnsi="Courier New"/>
                <w:sz w:val="18"/>
                <w:szCs w:val="18"/>
              </w:rPr>
              <w:t xml:space="preserve">    normalized = normalize(rawResult, rawResult.framework)</w:t>
            </w:r>
          </w:p>
          <w:p>
            <w:pPr>
              <w:spacing w:after="0"/>
            </w:pPr>
            <w:r>
              <w:rPr>
                <w:rFonts w:ascii="Courier New" w:cs="Courier New" w:eastAsia="Courier New" w:hAnsi="Courier New"/>
                <w:sz w:val="18"/>
                <w:szCs w:val="18"/>
              </w:rPr>
              <w:t xml:space="preserve">    writeJSON(`/qa-history/staging/${run_id}.json`, normalized, append=true)</w:t>
            </w:r>
          </w:p>
        </w:tc>
      </w:tr>
    </w:tbl>
    <w:p>
      <w:pPr>
        <w:spacing w:after="200"/>
      </w:pPr>
    </w:p>
    <w:p>
      <w:pPr>
        <w:pStyle w:val="Heading2"/>
        <w:spacing w:after="120" w:before="240"/>
      </w:pPr>
      <w:r>
        <w:t xml:space="preserve">7.2 Error Signature Generation</w:t>
      </w:r>
    </w:p>
    <w:p>
      <w:pPr>
        <w:spacing w:after="140"/>
      </w:pPr>
      <w:r>
        <w:t xml:space="preserve">Groups the same underlying issue across runs even when the raw error text shifts slightly (different IDs, timestamps, line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20"/>
              <w:left w:type="dxa" w:w="160"/>
              <w:bottom w:type="dxa" w:w="120"/>
              <w:right w:type="dxa" w:w="160"/>
            </w:tcMar>
          </w:tcPr>
          <w:p>
            <w:pPr>
              <w:spacing w:after="0"/>
            </w:pPr>
            <w:r>
              <w:rPr>
                <w:rFonts w:ascii="Courier New" w:cs="Courier New" w:eastAsia="Courier New" w:hAnsi="Courier New"/>
                <w:sz w:val="18"/>
                <w:szCs w:val="18"/>
              </w:rPr>
              <w:t xml:space="preserve">function generateSignature(normalized):</w:t>
            </w:r>
          </w:p>
          <w:p>
            <w:pPr>
              <w:spacing w:after="0"/>
            </w:pPr>
            <w:r>
              <w:rPr>
                <w:rFonts w:ascii="Courier New" w:cs="Courier New" w:eastAsia="Courier New" w:hAnsi="Courier New"/>
                <w:sz w:val="18"/>
                <w:szCs w:val="18"/>
              </w:rPr>
              <w:t xml:space="preserve">    stripped = normalized.error_message</w:t>
            </w:r>
          </w:p>
          <w:p>
            <w:pPr>
              <w:spacing w:after="0"/>
            </w:pPr>
            <w:r>
              <w:rPr>
                <w:rFonts w:ascii="Courier New" w:cs="Courier New" w:eastAsia="Courier New" w:hAnsi="Courier New"/>
                <w:sz w:val="18"/>
                <w:szCs w:val="18"/>
              </w:rPr>
              <w:t xml:space="preserve">        .replace(/[0-9a-f]{8}-[0-9a-f]{4}-.../g, "&lt;uuid&gt;")</w:t>
            </w:r>
          </w:p>
          <w:p>
            <w:pPr>
              <w:spacing w:after="0"/>
            </w:pPr>
            <w:r>
              <w:rPr>
                <w:rFonts w:ascii="Courier New" w:cs="Courier New" w:eastAsia="Courier New" w:hAnsi="Courier New"/>
                <w:sz w:val="18"/>
                <w:szCs w:val="18"/>
              </w:rPr>
              <w:t xml:space="preserve">        .replace(/\d{4}-\d{2}-\d{2}T[\d:.]+Z/g, "&lt;timestamp&gt;")</w:t>
            </w:r>
          </w:p>
          <w:p>
            <w:pPr>
              <w:spacing w:after="0"/>
            </w:pPr>
            <w:r>
              <w:rPr>
                <w:rFonts w:ascii="Courier New" w:cs="Courier New" w:eastAsia="Courier New" w:hAnsi="Courier New"/>
                <w:sz w:val="18"/>
                <w:szCs w:val="18"/>
              </w:rPr>
              <w:t xml:space="preserve">        .replace(/line \d+/g, "line &lt;n&gt;")</w:t>
            </w:r>
          </w:p>
          <w:p>
            <w:pPr>
              <w:spacing w:after="0"/>
            </w:pPr>
            <w:r>
              <w:rPr>
                <w:rFonts w:ascii="Courier New" w:cs="Courier New" w:eastAsia="Courier New" w:hAnsi="Courier New"/>
                <w:sz w:val="18"/>
                <w:szCs w:val="18"/>
              </w:rPr>
              <w:t xml:space="preserve">        .replace(/\d+/g, "&lt;n&gt;")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return sha256(normalized.test_id + "|" + stripped).substring(0, 16)</w:t>
            </w:r>
          </w:p>
        </w:tc>
      </w:tr>
    </w:tbl>
    <w:p>
      <w:pPr>
        <w:spacing w:after="200"/>
      </w:pPr>
    </w:p>
    <w:p>
      <w:pPr>
        <w:pStyle w:val="Heading2"/>
        <w:spacing w:after="120" w:before="240"/>
      </w:pPr>
      <w:r>
        <w:t xml:space="preserve">7.3 JSON Store Read/Write Logic</w:t>
      </w:r>
    </w:p>
    <w:p>
      <w:pPr>
        <w:spacing w:after="140"/>
      </w:pPr>
      <w:r>
        <w:t xml:space="preserve">Upserts a normalized failure into its signature file and refreshes the index. This is the only write path into the Historical Failure Store, called once per failure at the end of each weekend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20"/>
              <w:left w:type="dxa" w:w="160"/>
              <w:bottom w:type="dxa" w:w="120"/>
              <w:right w:type="dxa" w:w="160"/>
            </w:tcMar>
          </w:tcPr>
          <w:p>
            <w:pPr>
              <w:spacing w:after="0"/>
            </w:pPr>
            <w:r>
              <w:rPr>
                <w:rFonts w:ascii="Courier New" w:cs="Courier New" w:eastAsia="Courier New" w:hAnsi="Courier New"/>
                <w:sz w:val="18"/>
                <w:szCs w:val="18"/>
              </w:rPr>
              <w:t xml:space="preserve">function upsertOccurrence(normalized):</w:t>
            </w:r>
          </w:p>
          <w:p>
            <w:pPr>
              <w:spacing w:after="0"/>
            </w:pPr>
            <w:r>
              <w:rPr>
                <w:rFonts w:ascii="Courier New" w:cs="Courier New" w:eastAsia="Courier New" w:hAnsi="Courier New"/>
                <w:sz w:val="18"/>
                <w:szCs w:val="18"/>
              </w:rPr>
              <w:t xml:space="preserve">    sig = generateSignature(normalized)</w:t>
            </w:r>
          </w:p>
          <w:p>
            <w:pPr>
              <w:spacing w:after="0"/>
            </w:pPr>
            <w:r>
              <w:rPr>
                <w:rFonts w:ascii="Courier New" w:cs="Courier New" w:eastAsia="Courier New" w:hAnsi="Courier New"/>
                <w:sz w:val="18"/>
                <w:szCs w:val="18"/>
              </w:rPr>
              <w:t xml:space="preserve">    file = `/qa-history/signatures/${sig}.json`</w:t>
            </w:r>
          </w:p>
          <w:p>
            <w:pPr>
              <w:spacing w:after="0"/>
            </w:pPr>
            <w:r>
              <w:rPr>
                <w:rFonts w:ascii="Courier New" w:cs="Courier New" w:eastAsia="Courier New" w:hAnsi="Courier New"/>
                <w:sz w:val="18"/>
                <w:szCs w:val="18"/>
              </w:rPr>
              <w:t xml:space="preserve">    occurrences = fileExists(file) ? readJSON(file) : []</w:t>
            </w:r>
          </w:p>
          <w:p>
            <w:pPr>
              <w:spacing w:after="0"/>
            </w:pPr>
            <w:r>
              <w:rPr>
                <w:rFonts w:ascii="Courier New" w:cs="Courier New" w:eastAsia="Courier New" w:hAnsi="Courier New"/>
                <w:sz w:val="18"/>
                <w:szCs w:val="18"/>
              </w:rPr>
              <w:t xml:space="preserve">    occurrences.push(normalized)</w:t>
            </w:r>
          </w:p>
          <w:p>
            <w:pPr>
              <w:spacing w:after="0"/>
            </w:pPr>
            <w:r>
              <w:rPr>
                <w:rFonts w:ascii="Courier New" w:cs="Courier New" w:eastAsia="Courier New" w:hAnsi="Courier New"/>
                <w:sz w:val="18"/>
                <w:szCs w:val="18"/>
              </w:rPr>
              <w:t xml:space="preserve">    writeJSON(file, occurrences)</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index = readJSON('/qa-history/index.json')</w:t>
            </w:r>
          </w:p>
          <w:p>
            <w:pPr>
              <w:spacing w:after="0"/>
            </w:pPr>
            <w:r>
              <w:rPr>
                <w:rFonts w:ascii="Courier New" w:cs="Courier New" w:eastAsia="Courier New" w:hAnsi="Courier New"/>
                <w:sz w:val="18"/>
                <w:szCs w:val="18"/>
              </w:rPr>
              <w:t xml:space="preserve">    index[sig] = {</w:t>
            </w:r>
          </w:p>
          <w:p>
            <w:pPr>
              <w:spacing w:after="0"/>
            </w:pPr>
            <w:r>
              <w:rPr>
                <w:rFonts w:ascii="Courier New" w:cs="Courier New" w:eastAsia="Courier New" w:hAnsi="Courier New"/>
                <w:sz w:val="18"/>
                <w:szCs w:val="18"/>
              </w:rPr>
              <w:t xml:space="preserve">        test_id: normalized.test_id,</w:t>
            </w:r>
          </w:p>
          <w:p>
            <w:pPr>
              <w:spacing w:after="0"/>
            </w:pPr>
            <w:r>
              <w:rPr>
                <w:rFonts w:ascii="Courier New" w:cs="Courier New" w:eastAsia="Courier New" w:hAnsi="Courier New"/>
                <w:sz w:val="18"/>
                <w:szCs w:val="18"/>
              </w:rPr>
              <w:t xml:space="preserve">        framework: normalized.framework,</w:t>
            </w:r>
          </w:p>
          <w:p>
            <w:pPr>
              <w:spacing w:after="0"/>
            </w:pPr>
            <w:r>
              <w:rPr>
                <w:rFonts w:ascii="Courier New" w:cs="Courier New" w:eastAsia="Courier New" w:hAnsi="Courier New"/>
                <w:sz w:val="18"/>
                <w:szCs w:val="18"/>
              </w:rPr>
              <w:t xml:space="preserve">        first_seen: index[sig]?.first_seen ?? normalized.timestamp,</w:t>
            </w:r>
          </w:p>
          <w:p>
            <w:pPr>
              <w:spacing w:after="0"/>
            </w:pPr>
            <w:r>
              <w:rPr>
                <w:rFonts w:ascii="Courier New" w:cs="Courier New" w:eastAsia="Courier New" w:hAnsi="Courier New"/>
                <w:sz w:val="18"/>
                <w:szCs w:val="18"/>
              </w:rPr>
              <w:t xml:space="preserve">        last_seen: normalized.timestamp,</w:t>
            </w:r>
          </w:p>
          <w:p>
            <w:pPr>
              <w:spacing w:after="0"/>
            </w:pPr>
            <w:r>
              <w:rPr>
                <w:rFonts w:ascii="Courier New" w:cs="Courier New" w:eastAsia="Courier New" w:hAnsi="Courier New"/>
                <w:sz w:val="18"/>
                <w:szCs w:val="18"/>
              </w:rPr>
              <w:t xml:space="preserve">        occurrence_count: (index[sig]?.occurrence_count ?? 0) + 1,</w:t>
            </w:r>
          </w:p>
          <w:p>
            <w:pPr>
              <w:spacing w:after="0"/>
            </w:pPr>
            <w:r>
              <w:rPr>
                <w:rFonts w:ascii="Courier New" w:cs="Courier New" w:eastAsia="Courier New" w:hAnsi="Courier New"/>
                <w:sz w:val="18"/>
                <w:szCs w:val="18"/>
              </w:rPr>
              <w:t xml:space="preserve">        status: normalized.status,</w:t>
            </w:r>
          </w:p>
          <w:p>
            <w:pPr>
              <w:spacing w:after="0"/>
            </w:pPr>
            <w:r>
              <w:rPr>
                <w:rFonts w:ascii="Courier New" w:cs="Courier New" w:eastAsia="Courier New" w:hAnsi="Courier New"/>
                <w:sz w:val="18"/>
                <w:szCs w:val="18"/>
              </w:rPr>
              <w:t xml:space="preserve">        resolution_ref: index[sig]?.resolution_ref ?? null</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writeJSON('/qa-history/index.json', index)</w:t>
            </w:r>
          </w:p>
        </w:tc>
      </w:tr>
    </w:tbl>
    <w:p>
      <w:pPr>
        <w:spacing w:after="200"/>
      </w:pPr>
    </w:p>
    <w:p>
      <w:pPr>
        <w:pStyle w:val="Heading2"/>
        <w:spacing w:after="120" w:before="240"/>
      </w:pPr>
      <w:r>
        <w:t xml:space="preserve">7.4 HTML Dashboard Generator</w:t>
      </w:r>
    </w:p>
    <w:p>
      <w:pPr>
        <w:spacing w:after="140"/>
      </w:pPr>
      <w:r>
        <w:t xml:space="preserve">Runs once per weekend after the store is updated. Produces a single self-contained HTML file — no server or hosting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20"/>
              <w:left w:type="dxa" w:w="160"/>
              <w:bottom w:type="dxa" w:w="120"/>
              <w:right w:type="dxa" w:w="160"/>
            </w:tcMar>
          </w:tcPr>
          <w:p>
            <w:pPr>
              <w:spacing w:after="0"/>
            </w:pPr>
            <w:r>
              <w:rPr>
                <w:rFonts w:ascii="Courier New" w:cs="Courier New" w:eastAsia="Courier New" w:hAnsi="Courier New"/>
                <w:sz w:val="18"/>
                <w:szCs w:val="18"/>
              </w:rPr>
              <w:t xml:space="preserve">function generateDashboard():</w:t>
            </w:r>
          </w:p>
          <w:p>
            <w:pPr>
              <w:spacing w:after="0"/>
            </w:pPr>
            <w:r>
              <w:rPr>
                <w:rFonts w:ascii="Courier New" w:cs="Courier New" w:eastAsia="Courier New" w:hAnsi="Courier New"/>
                <w:sz w:val="18"/>
                <w:szCs w:val="18"/>
              </w:rPr>
              <w:t xml:space="preserve">    index = readJSON('/qa-history/index.json')</w:t>
            </w:r>
          </w:p>
          <w:p>
            <w:pPr>
              <w:spacing w:after="0"/>
            </w:pPr>
            <w:r>
              <w:rPr>
                <w:rFonts w:ascii="Courier New" w:cs="Courier New" w:eastAsia="Courier New" w:hAnsi="Courier New"/>
                <w:sz w:val="18"/>
                <w:szCs w:val="18"/>
              </w:rPr>
              <w:t xml:space="preserve">    topIssues = sortByOccurrenceCount(index).slice(0, 10)</w:t>
            </w:r>
          </w:p>
          <w:p>
            <w:pPr>
              <w:spacing w:after="0"/>
            </w:pPr>
            <w:r>
              <w:rPr>
                <w:rFonts w:ascii="Courier New" w:cs="Courier New" w:eastAsia="Courier New" w:hAnsi="Courier New"/>
                <w:sz w:val="18"/>
                <w:szCs w:val="18"/>
              </w:rPr>
              <w:t xml:space="preserve">    chartData = topIssues.map(i =&gt; ({</w:t>
            </w:r>
          </w:p>
          <w:p>
            <w:pPr>
              <w:spacing w:after="0"/>
            </w:pPr>
            <w:r>
              <w:rPr>
                <w:rFonts w:ascii="Courier New" w:cs="Courier New" w:eastAsia="Courier New" w:hAnsi="Courier New"/>
                <w:sz w:val="18"/>
                <w:szCs w:val="18"/>
              </w:rPr>
              <w:t xml:space="preserve">        label: i.test_id,</w:t>
            </w:r>
          </w:p>
          <w:p>
            <w:pPr>
              <w:spacing w:after="0"/>
            </w:pPr>
            <w:r>
              <w:rPr>
                <w:rFonts w:ascii="Courier New" w:cs="Courier New" w:eastAsia="Courier New" w:hAnsi="Courier New"/>
                <w:sz w:val="18"/>
                <w:szCs w:val="18"/>
              </w:rPr>
              <w:t xml:space="preserve">        series: occurrenceTimeline(i.signature)   // pulled from signature file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html = renderTemplate('dashboard.html.tpl', { chartData })</w:t>
            </w:r>
          </w:p>
          <w:p>
            <w:pPr>
              <w:spacing w:after="0"/>
            </w:pPr>
            <w:r>
              <w:rPr>
                <w:rFonts w:ascii="Courier New" w:cs="Courier New" w:eastAsia="Courier New" w:hAnsi="Courier New"/>
                <w:sz w:val="18"/>
                <w:szCs w:val="18"/>
              </w:rPr>
              <w:t xml:space="preserve">    writeFile('/qa-history/dashboard.html', html)</w:t>
            </w:r>
          </w:p>
        </w:tc>
      </w:tr>
    </w:tbl>
    <w:p>
      <w:pPr>
        <w:pStyle w:val="Heading1"/>
        <w:spacing w:after="160" w:before="320"/>
      </w:pPr>
      <w:r>
        <w:t xml:space="preserve">8. AI Skill Contracts</w:t>
      </w:r>
    </w:p>
    <w:p>
      <w:pPr>
        <w:spacing w:after="140"/>
      </w:pPr>
      <w:r>
        <w:t xml:space="preserve">Input/output shape for the two AI skills. These are the contracts a developer implements against — the skill's internal prompt logic can change without breaking callers as long as this shape is preserved.</w:t>
      </w:r>
    </w:p>
    <w:p>
      <w:pPr>
        <w:pStyle w:val="Heading2"/>
        <w:spacing w:after="120" w:before="240"/>
      </w:pPr>
      <w:r>
        <w:t xml:space="preserve">8.1 allure-report-analysis (extended)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20"/>
              <w:left w:type="dxa" w:w="160"/>
              <w:bottom w:type="dxa" w:w="120"/>
              <w:right w:type="dxa" w:w="160"/>
            </w:tcMar>
          </w:tcPr>
          <w:p>
            <w:pPr>
              <w:spacing w:after="0"/>
            </w:pPr>
            <w:r>
              <w:rPr>
                <w:rFonts w:ascii="Courier New" w:cs="Courier New" w:eastAsia="Courier New" w:hAnsi="Courier New"/>
                <w:sz w:val="18"/>
                <w:szCs w:val="18"/>
              </w:rPr>
              <w:t xml:space="preserve">INPUT:</w:t>
            </w:r>
          </w:p>
          <w:p>
            <w:pPr>
              <w:spacing w:after="0"/>
            </w:pPr>
            <w:r>
              <w:rPr>
                <w:rFonts w:ascii="Courier New" w:cs="Courier New" w:eastAsia="Courier New" w:hAnsi="Courier New"/>
                <w:sz w:val="18"/>
                <w:szCs w:val="18"/>
              </w:rPr>
              <w:t xml:space="preserve">  { run_id, normalized_results: [...], index_snapshot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OUTPUT: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summary_text,          // plain-language, for functional QA team</w:t>
            </w:r>
          </w:p>
          <w:p>
            <w:pPr>
              <w:spacing w:after="0"/>
            </w:pPr>
            <w:r>
              <w:rPr>
                <w:rFonts w:ascii="Courier New" w:cs="Courier New" w:eastAsia="Courier New" w:hAnsi="Courier New"/>
                <w:sz w:val="18"/>
                <w:szCs w:val="18"/>
              </w:rPr>
              <w:t xml:space="preserve">    new_issues: [...],</w:t>
            </w:r>
          </w:p>
          <w:p>
            <w:pPr>
              <w:spacing w:after="0"/>
            </w:pPr>
            <w:r>
              <w:rPr>
                <w:rFonts w:ascii="Courier New" w:cs="Courier New" w:eastAsia="Courier New" w:hAnsi="Courier New"/>
                <w:sz w:val="18"/>
                <w:szCs w:val="18"/>
              </w:rPr>
              <w:t xml:space="preserve">    recurring_issues: [...],</w:t>
            </w:r>
          </w:p>
          <w:p>
            <w:pPr>
              <w:spacing w:after="0"/>
            </w:pPr>
            <w:r>
              <w:rPr>
                <w:rFonts w:ascii="Courier New" w:cs="Courier New" w:eastAsia="Courier New" w:hAnsi="Courier New"/>
                <w:sz w:val="18"/>
                <w:szCs w:val="18"/>
              </w:rPr>
              <w:t xml:space="preserve">    flaky_issues: [...]</w:t>
            </w:r>
          </w:p>
          <w:p>
            <w:pPr>
              <w:spacing w:after="0"/>
            </w:pPr>
            <w:r>
              <w:rPr>
                <w:rFonts w:ascii="Courier New" w:cs="Courier New" w:eastAsia="Courier New" w:hAnsi="Courier New"/>
                <w:sz w:val="18"/>
                <w:szCs w:val="18"/>
              </w:rPr>
              <w:t xml:space="preserve">  }</w:t>
            </w:r>
          </w:p>
        </w:tc>
      </w:tr>
    </w:tbl>
    <w:p>
      <w:pPr>
        <w:spacing w:after="200"/>
      </w:pPr>
    </w:p>
    <w:p>
      <w:pPr>
        <w:pStyle w:val="Heading2"/>
        <w:spacing w:after="120" w:before="240"/>
      </w:pPr>
      <w:r>
        <w:t xml:space="preserve">8.2 issue-trend-analysis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20"/>
              <w:left w:type="dxa" w:w="160"/>
              <w:bottom w:type="dxa" w:w="120"/>
              <w:right w:type="dxa" w:w="160"/>
            </w:tcMar>
          </w:tcPr>
          <w:p>
            <w:pPr>
              <w:spacing w:after="0"/>
            </w:pPr>
            <w:r>
              <w:rPr>
                <w:rFonts w:ascii="Courier New" w:cs="Courier New" w:eastAsia="Courier New" w:hAnsi="Courier New"/>
                <w:sz w:val="18"/>
                <w:szCs w:val="18"/>
              </w:rPr>
              <w:t xml:space="preserve">INPUT:</w:t>
            </w:r>
          </w:p>
          <w:p>
            <w:pPr>
              <w:spacing w:after="0"/>
            </w:pPr>
            <w:r>
              <w:rPr>
                <w:rFonts w:ascii="Courier New" w:cs="Courier New" w:eastAsia="Courier New" w:hAnsi="Courier New"/>
                <w:sz w:val="18"/>
                <w:szCs w:val="18"/>
              </w:rPr>
              <w:t xml:space="preserve">  { query_text }  OR  { error_signature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OUTPUT: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signature,</w:t>
            </w:r>
          </w:p>
          <w:p>
            <w:pPr>
              <w:spacing w:after="0"/>
            </w:pPr>
            <w:r>
              <w:rPr>
                <w:rFonts w:ascii="Courier New" w:cs="Courier New" w:eastAsia="Courier New" w:hAnsi="Courier New"/>
                <w:sz w:val="18"/>
                <w:szCs w:val="18"/>
              </w:rPr>
              <w:t xml:space="preserve">    occurrence_count,</w:t>
            </w:r>
          </w:p>
          <w:p>
            <w:pPr>
              <w:spacing w:after="0"/>
            </w:pPr>
            <w:r>
              <w:rPr>
                <w:rFonts w:ascii="Courier New" w:cs="Courier New" w:eastAsia="Courier New" w:hAnsi="Courier New"/>
                <w:sz w:val="18"/>
                <w:szCs w:val="18"/>
              </w:rPr>
              <w:t xml:space="preserve">    first_seen, last_seen,</w:t>
            </w:r>
          </w:p>
          <w:p>
            <w:pPr>
              <w:spacing w:after="0"/>
            </w:pPr>
            <w:r>
              <w:rPr>
                <w:rFonts w:ascii="Courier New" w:cs="Courier New" w:eastAsia="Courier New" w:hAnsi="Courier New"/>
                <w:sz w:val="18"/>
                <w:szCs w:val="18"/>
              </w:rPr>
              <w:t xml:space="preserve">    environments: [...],</w:t>
            </w:r>
          </w:p>
          <w:p>
            <w:pPr>
              <w:spacing w:after="0"/>
            </w:pPr>
            <w:r>
              <w:rPr>
                <w:rFonts w:ascii="Courier New" w:cs="Courier New" w:eastAsia="Courier New" w:hAnsi="Courier New"/>
                <w:sz w:val="18"/>
                <w:szCs w:val="18"/>
              </w:rPr>
              <w:t xml:space="preserve">    trend_direction,        // improving | worsening | stable</w:t>
            </w:r>
          </w:p>
          <w:p>
            <w:pPr>
              <w:spacing w:after="0"/>
            </w:pPr>
            <w:r>
              <w:rPr>
                <w:rFonts w:ascii="Courier New" w:cs="Courier New" w:eastAsia="Courier New" w:hAnsi="Courier New"/>
                <w:sz w:val="18"/>
                <w:szCs w:val="18"/>
              </w:rPr>
              <w:t xml:space="preserve">    probable_root_cause,</w:t>
            </w:r>
          </w:p>
          <w:p>
            <w:pPr>
              <w:spacing w:after="0"/>
            </w:pPr>
            <w:r>
              <w:rPr>
                <w:rFonts w:ascii="Courier New" w:cs="Courier New" w:eastAsia="Courier New" w:hAnsi="Courier New"/>
                <w:sz w:val="18"/>
                <w:szCs w:val="18"/>
              </w:rPr>
              <w:t xml:space="preserve">    suggested_fix,</w:t>
            </w:r>
          </w:p>
          <w:p>
            <w:pPr>
              <w:spacing w:after="0"/>
            </w:pPr>
            <w:r>
              <w:rPr>
                <w:rFonts w:ascii="Courier New" w:cs="Courier New" w:eastAsia="Courier New" w:hAnsi="Courier New"/>
                <w:sz w:val="18"/>
                <w:szCs w:val="18"/>
              </w:rPr>
              <w:t xml:space="preserve">    related_resolution_ref  // null if no prior fix on record</w:t>
            </w:r>
          </w:p>
          <w:p>
            <w:pPr>
              <w:spacing w:after="0"/>
            </w:pPr>
            <w:r>
              <w:rPr>
                <w:rFonts w:ascii="Courier New" w:cs="Courier New" w:eastAsia="Courier New" w:hAnsi="Courier New"/>
                <w:sz w:val="18"/>
                <w:szCs w:val="18"/>
              </w:rPr>
              <w:t xml:space="preserve">  }</w:t>
            </w:r>
          </w:p>
        </w:tc>
      </w:tr>
    </w:tbl>
    <w:p>
      <w:pPr>
        <w:pStyle w:val="Heading1"/>
        <w:spacing w:after="160" w:before="320"/>
      </w:pPr>
      <w:r>
        <w:t xml:space="preserve">9. Sequence Diagrams</w:t>
      </w:r>
    </w:p>
    <w:p>
      <w:pPr>
        <w:spacing w:after="140"/>
      </w:pPr>
      <w:r>
        <w:t xml:space="preserve">Each diagram traces one interaction from the UX walkthrough (Section 11) down to the component level.</w:t>
      </w:r>
    </w:p>
    <w:p>
      <w:pPr>
        <w:pStyle w:val="Heading2"/>
        <w:spacing w:after="120" w:before="240"/>
      </w:pPr>
      <w:r>
        <w:t xml:space="preserve">9.1 Weekly Summarization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20"/>
              <w:left w:type="dxa" w:w="160"/>
              <w:bottom w:type="dxa" w:w="120"/>
              <w:right w:type="dxa" w:w="160"/>
            </w:tcMar>
          </w:tcPr>
          <w:p>
            <w:pPr>
              <w:spacing w:after="0"/>
            </w:pPr>
            <w:r>
              <w:rPr>
                <w:rFonts w:ascii="Courier New" w:cs="Courier New" w:eastAsia="Courier New" w:hAnsi="Courier New"/>
                <w:sz w:val="18"/>
                <w:szCs w:val="18"/>
              </w:rPr>
              <w:t xml:space="preserve">1. User -&gt; Chatmode: "Summarize this weekend's run"</w:t>
            </w:r>
          </w:p>
          <w:p>
            <w:pPr>
              <w:spacing w:after="0"/>
            </w:pPr>
            <w:r>
              <w:rPr>
                <w:rFonts w:ascii="Courier New" w:cs="Courier New" w:eastAsia="Courier New" w:hAnsi="Courier New"/>
                <w:sz w:val="18"/>
                <w:szCs w:val="18"/>
              </w:rPr>
              <w:t xml:space="preserve">2. Chatmode -&gt; allure-report-analysis: request summary for run_id</w:t>
            </w:r>
          </w:p>
          <w:p>
            <w:pPr>
              <w:spacing w:after="0"/>
            </w:pPr>
            <w:r>
              <w:rPr>
                <w:rFonts w:ascii="Courier New" w:cs="Courier New" w:eastAsia="Courier New" w:hAnsi="Courier New"/>
                <w:sz w:val="18"/>
                <w:szCs w:val="18"/>
              </w:rPr>
              <w:t xml:space="preserve">3. allure-report-analysis -&gt; JSON Store: read this run's normalized results</w:t>
            </w:r>
          </w:p>
          <w:p>
            <w:pPr>
              <w:spacing w:after="0"/>
            </w:pPr>
            <w:r>
              <w:rPr>
                <w:rFonts w:ascii="Courier New" w:cs="Courier New" w:eastAsia="Courier New" w:hAnsi="Courier New"/>
                <w:sz w:val="18"/>
                <w:szCs w:val="18"/>
              </w:rPr>
              <w:t xml:space="preserve">4. JSON Store -&gt; allure-report-analysis: normalized results</w:t>
            </w:r>
          </w:p>
          <w:p>
            <w:pPr>
              <w:spacing w:after="0"/>
            </w:pPr>
            <w:r>
              <w:rPr>
                <w:rFonts w:ascii="Courier New" w:cs="Courier New" w:eastAsia="Courier New" w:hAnsi="Courier New"/>
                <w:sz w:val="18"/>
                <w:szCs w:val="18"/>
              </w:rPr>
              <w:t xml:space="preserve">5. allure-report-analysis: classify new / recurring / flaky</w:t>
            </w:r>
          </w:p>
          <w:p>
            <w:pPr>
              <w:spacing w:after="0"/>
            </w:pPr>
            <w:r>
              <w:rPr>
                <w:rFonts w:ascii="Courier New" w:cs="Courier New" w:eastAsia="Courier New" w:hAnsi="Courier New"/>
                <w:sz w:val="18"/>
                <w:szCs w:val="18"/>
              </w:rPr>
              <w:t xml:space="preserve">6. allure-report-analysis -&gt; Chatmode: summary_text</w:t>
            </w:r>
          </w:p>
          <w:p>
            <w:pPr>
              <w:spacing w:after="0"/>
            </w:pPr>
            <w:r>
              <w:rPr>
                <w:rFonts w:ascii="Courier New" w:cs="Courier New" w:eastAsia="Courier New" w:hAnsi="Courier New"/>
                <w:sz w:val="18"/>
                <w:szCs w:val="18"/>
              </w:rPr>
              <w:t xml:space="preserve">7. Chatmode -&gt; User: plain-language summary</w:t>
            </w:r>
          </w:p>
        </w:tc>
      </w:tr>
    </w:tbl>
    <w:p>
      <w:pPr>
        <w:spacing w:after="200"/>
      </w:pPr>
    </w:p>
    <w:p>
      <w:pPr>
        <w:pStyle w:val="Heading2"/>
        <w:spacing w:after="120" w:before="240"/>
      </w:pPr>
      <w:r>
        <w:t xml:space="preserve">9.2 Issue Investigation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20"/>
              <w:left w:type="dxa" w:w="160"/>
              <w:bottom w:type="dxa" w:w="120"/>
              <w:right w:type="dxa" w:w="160"/>
            </w:tcMar>
          </w:tcPr>
          <w:p>
            <w:pPr>
              <w:spacing w:after="0"/>
            </w:pPr>
            <w:r>
              <w:rPr>
                <w:rFonts w:ascii="Courier New" w:cs="Courier New" w:eastAsia="Courier New" w:hAnsi="Courier New"/>
                <w:sz w:val="18"/>
                <w:szCs w:val="18"/>
              </w:rPr>
              <w:t xml:space="preserve">1. User -&gt; Chatmode: "Investigate the Login failure"</w:t>
            </w:r>
          </w:p>
          <w:p>
            <w:pPr>
              <w:spacing w:after="0"/>
            </w:pPr>
            <w:r>
              <w:rPr>
                <w:rFonts w:ascii="Courier New" w:cs="Courier New" w:eastAsia="Courier New" w:hAnsi="Courier New"/>
                <w:sz w:val="18"/>
                <w:szCs w:val="18"/>
              </w:rPr>
              <w:t xml:space="preserve">2. Chatmode -&gt; issue-trend-analysis: query_text</w:t>
            </w:r>
          </w:p>
          <w:p>
            <w:pPr>
              <w:spacing w:after="0"/>
            </w:pPr>
            <w:r>
              <w:rPr>
                <w:rFonts w:ascii="Courier New" w:cs="Courier New" w:eastAsia="Courier New" w:hAnsi="Courier New"/>
                <w:sz w:val="18"/>
                <w:szCs w:val="18"/>
              </w:rPr>
              <w:t xml:space="preserve">3. issue-trend-analysis: resolve query_text to error_signature</w:t>
            </w:r>
          </w:p>
          <w:p>
            <w:pPr>
              <w:spacing w:after="0"/>
            </w:pPr>
            <w:r>
              <w:rPr>
                <w:rFonts w:ascii="Courier New" w:cs="Courier New" w:eastAsia="Courier New" w:hAnsi="Courier New"/>
                <w:sz w:val="18"/>
                <w:szCs w:val="18"/>
              </w:rPr>
              <w:t xml:space="preserve">4. issue-trend-analysis -&gt; JSON Store: read signature file + index entry</w:t>
            </w:r>
          </w:p>
          <w:p>
            <w:pPr>
              <w:spacing w:after="0"/>
            </w:pPr>
            <w:r>
              <w:rPr>
                <w:rFonts w:ascii="Courier New" w:cs="Courier New" w:eastAsia="Courier New" w:hAnsi="Courier New"/>
                <w:sz w:val="18"/>
                <w:szCs w:val="18"/>
              </w:rPr>
              <w:t xml:space="preserve">5. JSON Store -&gt; issue-trend-analysis: occurrence history</w:t>
            </w:r>
          </w:p>
          <w:p>
            <w:pPr>
              <w:spacing w:after="0"/>
            </w:pPr>
            <w:r>
              <w:rPr>
                <w:rFonts w:ascii="Courier New" w:cs="Courier New" w:eastAsia="Courier New" w:hAnsi="Courier New"/>
                <w:sz w:val="18"/>
                <w:szCs w:val="18"/>
              </w:rPr>
              <w:t xml:space="preserve">6. issue-trend-analysis -&gt; Resolution Log: look up resolution_ref (if any)</w:t>
            </w:r>
          </w:p>
          <w:p>
            <w:pPr>
              <w:spacing w:after="0"/>
            </w:pPr>
            <w:r>
              <w:rPr>
                <w:rFonts w:ascii="Courier New" w:cs="Courier New" w:eastAsia="Courier New" w:hAnsi="Courier New"/>
                <w:sz w:val="18"/>
                <w:szCs w:val="18"/>
              </w:rPr>
              <w:t xml:space="preserve">7. Resolution Log -&gt; issue-trend-analysis: prior fix, or none</w:t>
            </w:r>
          </w:p>
          <w:p>
            <w:pPr>
              <w:spacing w:after="0"/>
            </w:pPr>
            <w:r>
              <w:rPr>
                <w:rFonts w:ascii="Courier New" w:cs="Courier New" w:eastAsia="Courier New" w:hAnsi="Courier New"/>
                <w:sz w:val="18"/>
                <w:szCs w:val="18"/>
              </w:rPr>
              <w:t xml:space="preserve">8. issue-trend-analysis -&gt; Chatmode: trend + root cause + suggested fix</w:t>
            </w:r>
          </w:p>
          <w:p>
            <w:pPr>
              <w:spacing w:after="0"/>
            </w:pPr>
            <w:r>
              <w:rPr>
                <w:rFonts w:ascii="Courier New" w:cs="Courier New" w:eastAsia="Courier New" w:hAnsi="Courier New"/>
                <w:sz w:val="18"/>
                <w:szCs w:val="18"/>
              </w:rPr>
              <w:t xml:space="preserve">9. Chatmode -&gt; User: formatted answer</w:t>
            </w:r>
          </w:p>
        </w:tc>
      </w:tr>
    </w:tbl>
    <w:p>
      <w:pPr>
        <w:spacing w:after="200"/>
      </w:pPr>
    </w:p>
    <w:p>
      <w:pPr>
        <w:pStyle w:val="Heading2"/>
        <w:spacing w:after="120" w:before="240"/>
      </w:pPr>
      <w:r>
        <w:t xml:space="preserve">9.3 Resolution Logging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20"/>
              <w:left w:type="dxa" w:w="160"/>
              <w:bottom w:type="dxa" w:w="120"/>
              <w:right w:type="dxa" w:w="160"/>
            </w:tcMar>
          </w:tcPr>
          <w:p>
            <w:pPr>
              <w:spacing w:after="0"/>
            </w:pPr>
            <w:r>
              <w:rPr>
                <w:rFonts w:ascii="Courier New" w:cs="Courier New" w:eastAsia="Courier New" w:hAnsi="Courier New"/>
                <w:sz w:val="18"/>
                <w:szCs w:val="18"/>
              </w:rPr>
              <w:t xml:space="preserve">1. User -&gt; Chatmode: "Log resolution: ..."</w:t>
            </w:r>
          </w:p>
          <w:p>
            <w:pPr>
              <w:spacing w:after="0"/>
            </w:pPr>
            <w:r>
              <w:rPr>
                <w:rFonts w:ascii="Courier New" w:cs="Courier New" w:eastAsia="Courier New" w:hAnsi="Courier New"/>
                <w:sz w:val="18"/>
                <w:szCs w:val="18"/>
              </w:rPr>
              <w:t xml:space="preserve">2. Chatmode -&gt; Resolution Log: append entry</w:t>
            </w:r>
          </w:p>
          <w:p>
            <w:pPr>
              <w:spacing w:after="0"/>
            </w:pPr>
            <w:r>
              <w:rPr>
                <w:rFonts w:ascii="Courier New" w:cs="Courier New" w:eastAsia="Courier New" w:hAnsi="Courier New"/>
                <w:sz w:val="18"/>
                <w:szCs w:val="18"/>
              </w:rPr>
              <w:t xml:space="preserve">3. Resolution Log -&gt; JSON Store: set resolution_ref on matching signature</w:t>
            </w:r>
          </w:p>
          <w:p>
            <w:pPr>
              <w:spacing w:after="0"/>
            </w:pPr>
            <w:r>
              <w:rPr>
                <w:rFonts w:ascii="Courier New" w:cs="Courier New" w:eastAsia="Courier New" w:hAnsi="Courier New"/>
                <w:sz w:val="18"/>
                <w:szCs w:val="18"/>
              </w:rPr>
              <w:t xml:space="preserve">4. JSON Store -&gt; Resolution Log: confirmed</w:t>
            </w:r>
          </w:p>
          <w:p>
            <w:pPr>
              <w:spacing w:after="0"/>
            </w:pPr>
            <w:r>
              <w:rPr>
                <w:rFonts w:ascii="Courier New" w:cs="Courier New" w:eastAsia="Courier New" w:hAnsi="Courier New"/>
                <w:sz w:val="18"/>
                <w:szCs w:val="18"/>
              </w:rPr>
              <w:t xml:space="preserve">5. Chatmode -&gt; User: confirmation</w:t>
            </w:r>
          </w:p>
        </w:tc>
      </w:tr>
    </w:tbl>
    <w:p>
      <w:pPr>
        <w:pStyle w:val="Heading1"/>
        <w:spacing w:after="160" w:before="320"/>
      </w:pPr>
      <w:r>
        <w:t xml:space="preserve">10. Open Decisions</w:t>
      </w:r>
    </w:p>
    <w:p>
      <w:pPr>
        <w:pStyle w:val="ListParagraph"/>
        <w:numPr>
          <w:ilvl w:val="0"/>
          <w:numId w:val="1"/>
        </w:numPr>
        <w:spacing w:after="80"/>
      </w:pPr>
      <w:r>
        <w:t xml:space="preserve">Format and required fields for the Resolution Log, and who is responsible for logging a fix at close-out</w:t>
      </w:r>
    </w:p>
    <w:p>
      <w:pPr>
        <w:pStyle w:val="Heading1"/>
        <w:spacing w:after="160" w:before="320"/>
      </w:pPr>
      <w:r>
        <w:t xml:space="preserve">11. Appendix: User Experience Walkthrough</w:t>
      </w:r>
    </w:p>
    <w:p>
      <w:pPr>
        <w:spacing w:after="140"/>
      </w:pPr>
      <w:r>
        <w:t xml:space="preserve">This walkthrough traces the end-to-end experience for a functional QA team member, in the order these interactions happen during a normal week. Each step shows what the user types and what they get back.</w:t>
      </w:r>
    </w:p>
    <w:p>
      <w:pPr>
        <w:pStyle w:val="Heading2"/>
        <w:spacing w:after="120" w:before="240"/>
      </w:pPr>
      <w:r>
        <w:t xml:space="preserve">11.1 Weekend run completes → Monday morning trigger</w:t>
      </w:r>
    </w:p>
    <w:p>
      <w:pPr>
        <w:spacing w:after="140"/>
      </w:pPr>
      <w:r>
        <w:t xml:space="preserve">Nothing to configure or trigger manually — the pipeline runs automatically over the weekend. On Monday, the user opens the allure-weekly-reporter chatmode and types:</w:t>
      </w:r>
    </w:p>
    <w:p>
      <w:pPr>
        <w:spacing w:after="140"/>
      </w:pPr>
      <w:r>
        <w:rPr>
          <w:b/>
          <w:bCs/>
        </w:rPr>
        <w:t xml:space="preserve">Prompt: </w:t>
      </w:r>
      <w:r>
        <w:t xml:space="preserve">“Summarize this weekend's run”</w:t>
      </w:r>
    </w:p>
    <w:p>
      <w:pPr>
        <w:spacing w:after="140"/>
      </w:pPr>
      <w:r>
        <w:rPr>
          <w:b/>
          <w:bCs/>
        </w:rPr>
        <w:t xml:space="preserve">Outcome: </w:t>
      </w:r>
      <w:r>
        <w:t xml:space="preserve">A plain-language summary rather than raw Allure output — e.g. “14 tests failed. 3 are new failures in Checkout. 8 are recurring — same 8 as last week, all in Login. 3 are flaky (passed on retry). No action needed on flaky; Checkout failures are new and worth a look.”</w:t>
      </w:r>
    </w:p>
    <w:p>
      <w:pPr>
        <w:pStyle w:val="Heading2"/>
        <w:spacing w:after="120" w:before="240"/>
      </w:pPr>
      <w:r>
        <w:t xml:space="preserve">11.2 Investigating one specific issue</w:t>
      </w:r>
    </w:p>
    <w:p>
      <w:pPr>
        <w:spacing w:after="140"/>
      </w:pPr>
      <w:r>
        <w:t xml:space="preserve">If a recurring item catches their attention, the user asks the same chatmode, which routes to the new issue-trend-analysis skill:</w:t>
      </w:r>
    </w:p>
    <w:p>
      <w:pPr>
        <w:spacing w:after="140"/>
      </w:pPr>
      <w:r>
        <w:rPr>
          <w:b/>
          <w:bCs/>
        </w:rPr>
        <w:t xml:space="preserve">Prompt: </w:t>
      </w:r>
      <w:r>
        <w:t xml:space="preserve">“Investigate the Login page failure”</w:t>
      </w:r>
    </w:p>
    <w:p>
      <w:pPr>
        <w:spacing w:after="140"/>
      </w:pPr>
      <w:r>
        <w:t xml:space="preserve">Behind the scenes: the skill matches the error to its signature, opens the corresponding file under /qa-history/signatures/, and reads the full occurrence history.</w:t>
      </w:r>
    </w:p>
    <w:p>
      <w:pPr>
        <w:spacing w:after="140"/>
      </w:pPr>
      <w:r>
        <w:rPr>
          <w:b/>
          <w:bCs/>
        </w:rPr>
        <w:t xml:space="preserve">Outcome: </w:t>
      </w:r>
      <w:r>
        <w:t xml:space="preserve">“This issue has occurred 8 times since June 3, only in the QA environment, always on the same locator. Likely cause: selector drift after last week's UI change to the login form. No resolution logged yet — closest prior fix was a similar selector issue on the Checkout page, resolved by updating to a data-testid selector.”</w:t>
      </w:r>
    </w:p>
    <w:p>
      <w:pPr>
        <w:pStyle w:val="Heading2"/>
        <w:spacing w:after="120" w:before="240"/>
      </w:pPr>
      <w:r>
        <w:t xml:space="preserve">11.3 Checking trends visually</w:t>
      </w:r>
    </w:p>
    <w:p>
      <w:pPr>
        <w:spacing w:after="140"/>
      </w:pPr>
      <w:r>
        <w:t xml:space="preserve">No prompt is required. A link to the regenerated HTML dashboard is included automatically in the Monday report. The user opens it directly in a browser.</w:t>
      </w:r>
    </w:p>
    <w:p>
      <w:pPr>
        <w:spacing w:after="140"/>
      </w:pPr>
      <w:r>
        <w:rPr>
          <w:b/>
          <w:bCs/>
        </w:rPr>
        <w:t xml:space="preserve">Outcome: </w:t>
      </w:r>
      <w:r>
        <w:t xml:space="preserve">Charts of top recurring issues over time, generated fresh from index.json on each weekend run — no server or hosting required.</w:t>
      </w:r>
    </w:p>
    <w:p>
      <w:pPr>
        <w:pStyle w:val="Heading2"/>
        <w:spacing w:after="120" w:before="240"/>
      </w:pPr>
      <w:r>
        <w:t xml:space="preserve">11.4 The manager status report</w:t>
      </w:r>
    </w:p>
    <w:p>
      <w:pPr>
        <w:spacing w:after="140"/>
      </w:pPr>
      <w:r>
        <w:t xml:space="preserve">Unchanged in form from today's process — same weekly-qa-report prompt file, now enriched with trend data and the dashboard link.</w:t>
      </w:r>
    </w:p>
    <w:p>
      <w:pPr>
        <w:spacing w:after="140"/>
      </w:pPr>
      <w:r>
        <w:rPr>
          <w:b/>
          <w:bCs/>
        </w:rPr>
        <w:t xml:space="preserve">Prompt: </w:t>
      </w:r>
      <w:r>
        <w:t xml:space="preserve">“Generate this week's status report”</w:t>
      </w:r>
    </w:p>
    <w:p>
      <w:pPr>
        <w:spacing w:after="140"/>
      </w:pPr>
      <w:r>
        <w:rPr>
          <w:b/>
          <w:bCs/>
        </w:rPr>
        <w:t xml:space="preserve">Outcome: </w:t>
      </w:r>
      <w:r>
        <w:t xml:space="preserve">The existing Monday report, now including a “Trending Issues” section and a link to the dashboard, instead of pass/fail counts alone.</w:t>
      </w:r>
    </w:p>
    <w:p>
      <w:pPr>
        <w:pStyle w:val="Heading2"/>
        <w:spacing w:after="120" w:before="240"/>
      </w:pPr>
      <w:r>
        <w:t xml:space="preserve">11.5 Closing the loop when an issue is fixed</w:t>
      </w:r>
    </w:p>
    <w:p>
      <w:pPr>
        <w:spacing w:after="140"/>
      </w:pPr>
      <w:r>
        <w:t xml:space="preserve">This is the one new habit the process introduces. Whoever fixes an issue tells the chatmode:</w:t>
      </w:r>
    </w:p>
    <w:p>
      <w:pPr>
        <w:spacing w:after="140"/>
      </w:pPr>
      <w:r>
        <w:rPr>
          <w:b/>
          <w:bCs/>
        </w:rPr>
        <w:t xml:space="preserve">Prompt: </w:t>
      </w:r>
      <w:r>
        <w:t xml:space="preserve">“Log resolution: Login selector issue — root cause was a UI change to the login form; fix was switching to a data-testid selector”</w:t>
      </w:r>
    </w:p>
    <w:p>
      <w:pPr>
        <w:spacing w:after="140"/>
      </w:pPr>
      <w:r>
        <w:rPr>
          <w:b/>
          <w:bCs/>
        </w:rPr>
        <w:t xml:space="preserve">Outcome: </w:t>
      </w:r>
      <w:r>
        <w:t xml:space="preserve">The fix is appended to the Resolution Log and linked back to that issue's error signature, so the next time issue-trend-analysis encounters something similar, it can cite this as a known fix pattern instead of guessing cold.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2026-08-15T12:52:21.223Z</dcterms:created>
  <dcterms:modified xsi:type="dcterms:W3CDTF">2026-08-15T12:52:21.224Z</dcterms:modified>
</cp:coreProperties>
</file>

<file path=docProps/custom.xml><?xml version="1.0" encoding="utf-8"?>
<Properties xmlns="http://schemas.openxmlformats.org/officeDocument/2006/custom-properties" xmlns:vt="http://schemas.openxmlformats.org/officeDocument/2006/docPropsVTypes"/>
</file>