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Agentic Development Rollout: Implementation Plan</w:t>
      </w:r>
    </w:p>
    <w:p>
      <w:pPr>
        <w:spacing w:after="280"/>
      </w:pPr>
      <w:r>
        <w:rPr>
          <w:i/>
          <w:iCs/>
          <w:color w:val="555555"/>
        </w:rPr>
        <w:t xml:space="preserve">Version 3. Extending agentic development from QA automation across the full value stream, aligned from requirement through release to realized business outcome.</w:t>
      </w:r>
    </w:p>
    <w:p>
      <w:pPr>
        <w:pStyle w:val="Heading1"/>
        <w:spacing w:after="160" w:before="320"/>
      </w:pPr>
      <w:r>
        <w:t xml:space="preserve">1. The Problem This Plan Solves</w:t>
      </w:r>
    </w:p>
    <w:p>
      <w:pPr>
        <w:spacing w:after="140"/>
      </w:pPr>
      <w:r>
        <w:t xml:space="preserve">QA automation has adopted agentic development — custom agents, skills, and instructions in .github, a competency ladder, and measurable team-level gains. BA and application development still operate on ad hoc, individual use of AI productivity tools.</w:t>
      </w:r>
    </w:p>
    <w:p>
      <w:pPr>
        <w:spacing w:after="140"/>
      </w:pPr>
      <w:r>
        <w:t xml:space="preserve">Three constraints follow. First, within engineering, the value stream compresses only as fast as its slowest stage, so BA and dev currently cap the achievable gain regardless of how effective QA becomes. Second, build time is typically a minority of total elapsed time from business need to benefit realized — the remainder sits in intake and prioritization queues, release wait, and adoption. Third, a benefit-only account of the program does not answer the question of whether heavy investment is justified; that requires a cost side.</w:t>
      </w:r>
    </w:p>
    <w:p>
      <w:pPr>
        <w:spacing w:after="140"/>
      </w:pPr>
      <w:r>
        <w:t xml:space="preserve">This plan addresses all three, instruments the value stream so improvement is measurable rather than reconstructed, and establishes the sustainment model that keeps gains from decaying over a multi-cycle horizon.</w:t>
      </w:r>
    </w:p>
    <w:p>
      <w:pPr>
        <w:pStyle w:val="Heading1"/>
        <w:spacing w:after="160" w:before="320"/>
      </w:pPr>
      <w:r>
        <w:t xml:space="preserve">2. Four Workstreams</w:t>
      </w:r>
    </w:p>
    <w:p>
      <w:pPr>
        <w:spacing w:after="140"/>
      </w:pPr>
      <w:r>
        <w:t xml:space="preserve">The phases fall into four workstreams that run partly in parallel. Treating them as a single sequence is the most common way this kind of program stalls — the wait-time workstream in particular depends on stakeholders outside engineering and must start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400"/>
        <w:gridCol w:w="3620"/>
      </w:tblGrid>
      <w:tr>
        <w:trPr>
          <w:tblHeader/>
        </w:trPr>
        <w:tc>
          <w:tcPr>
            <w:tcW w:type="dxa" w:w="2340"/>
            <w:shd w:fill="1F3864" w:val="clear"/>
            <w:tcMar>
              <w:top w:type="dxa" w:w="100"/>
              <w:left w:type="dxa" w:w="120"/>
              <w:bottom w:type="dxa" w:w="100"/>
              <w:right w:type="dxa" w:w="120"/>
            </w:tcMar>
          </w:tcPr>
          <w:p>
            <w:pPr>
              <w:spacing w:after="40"/>
            </w:pPr>
            <w:r>
              <w:rPr>
                <w:b/>
                <w:bCs/>
                <w:color w:val="FFFFFF"/>
              </w:rPr>
              <w:t xml:space="preserve">Workstream</w:t>
            </w:r>
          </w:p>
        </w:tc>
        <w:tc>
          <w:tcPr>
            <w:tcW w:type="dxa" w:w="3400"/>
            <w:shd w:fill="1F3864" w:val="clear"/>
            <w:tcMar>
              <w:top w:type="dxa" w:w="100"/>
              <w:left w:type="dxa" w:w="120"/>
              <w:bottom w:type="dxa" w:w="100"/>
              <w:right w:type="dxa" w:w="120"/>
            </w:tcMar>
          </w:tcPr>
          <w:p>
            <w:pPr>
              <w:spacing w:after="40"/>
            </w:pPr>
            <w:r>
              <w:rPr>
                <w:b/>
                <w:bCs/>
                <w:color w:val="FFFFFF"/>
              </w:rPr>
              <w:t xml:space="preserve">Phases</w:t>
            </w:r>
          </w:p>
        </w:tc>
        <w:tc>
          <w:tcPr>
            <w:tcW w:type="dxa" w:w="3620"/>
            <w:shd w:fill="1F3864" w:val="clear"/>
            <w:tcMar>
              <w:top w:type="dxa" w:w="100"/>
              <w:left w:type="dxa" w:w="120"/>
              <w:bottom w:type="dxa" w:w="100"/>
              <w:right w:type="dxa" w:w="120"/>
            </w:tcMar>
          </w:tcPr>
          <w:p>
            <w:pPr>
              <w:spacing w:after="40"/>
            </w:pPr>
            <w:r>
              <w:rPr>
                <w:b/>
                <w:bCs/>
                <w:color w:val="FFFFFF"/>
              </w:rPr>
              <w:t xml:space="preserve">Owner profile</w:t>
            </w:r>
          </w:p>
        </w:tc>
      </w:tr>
      <w:tr>
        <w:tc>
          <w:tcPr>
            <w:tcW w:type="dxa" w:w="2340"/>
            <w:tcMar>
              <w:top w:type="dxa" w:w="100"/>
              <w:left w:type="dxa" w:w="120"/>
              <w:bottom w:type="dxa" w:w="100"/>
              <w:right w:type="dxa" w:w="120"/>
            </w:tcMar>
          </w:tcPr>
          <w:p>
            <w:pPr>
              <w:spacing w:after="40"/>
            </w:pPr>
            <w:r>
              <w:rPr>
                <w:b/>
                <w:bCs/>
              </w:rPr>
              <w:t xml:space="preserve">Economics and measurement</w:t>
            </w:r>
          </w:p>
        </w:tc>
        <w:tc>
          <w:tcPr>
            <w:tcW w:type="dxa" w:w="3400"/>
            <w:tcMar>
              <w:top w:type="dxa" w:w="100"/>
              <w:left w:type="dxa" w:w="120"/>
              <w:bottom w:type="dxa" w:w="100"/>
              <w:right w:type="dxa" w:w="120"/>
            </w:tcMar>
          </w:tcPr>
          <w:p>
            <w:pPr>
              <w:spacing w:after="40"/>
            </w:pPr>
            <w:r>
              <w:rPr>
                <w:b w:val="false"/>
                <w:bCs w:val="false"/>
              </w:rPr>
              <w:t xml:space="preserve">0, 1</w:t>
            </w:r>
          </w:p>
        </w:tc>
        <w:tc>
          <w:tcPr>
            <w:tcW w:type="dxa" w:w="3620"/>
            <w:tcMar>
              <w:top w:type="dxa" w:w="100"/>
              <w:left w:type="dxa" w:w="120"/>
              <w:bottom w:type="dxa" w:w="100"/>
              <w:right w:type="dxa" w:w="120"/>
            </w:tcMar>
          </w:tcPr>
          <w:p>
            <w:pPr>
              <w:spacing w:after="40"/>
            </w:pPr>
            <w:r>
              <w:rPr>
                <w:b w:val="false"/>
                <w:bCs w:val="false"/>
              </w:rPr>
              <w:t xml:space="preserve">Engineering leadership with finance</w:t>
            </w:r>
          </w:p>
        </w:tc>
      </w:tr>
      <w:tr>
        <w:tc>
          <w:tcPr>
            <w:tcW w:type="dxa" w:w="2340"/>
            <w:shd w:fill="D9E2F3" w:val="clear"/>
            <w:tcMar>
              <w:top w:type="dxa" w:w="100"/>
              <w:left w:type="dxa" w:w="120"/>
              <w:bottom w:type="dxa" w:w="100"/>
              <w:right w:type="dxa" w:w="120"/>
            </w:tcMar>
          </w:tcPr>
          <w:p>
            <w:pPr>
              <w:spacing w:after="40"/>
            </w:pPr>
            <w:r>
              <w:rPr>
                <w:b/>
                <w:bCs/>
              </w:rPr>
              <w:t xml:space="preserve">Engineering transformation</w:t>
            </w:r>
          </w:p>
        </w:tc>
        <w:tc>
          <w:tcPr>
            <w:tcW w:type="dxa" w:w="3400"/>
            <w:shd w:fill="D9E2F3" w:val="clear"/>
            <w:tcMar>
              <w:top w:type="dxa" w:w="100"/>
              <w:left w:type="dxa" w:w="120"/>
              <w:bottom w:type="dxa" w:w="100"/>
              <w:right w:type="dxa" w:w="120"/>
            </w:tcMar>
          </w:tcPr>
          <w:p>
            <w:pPr>
              <w:spacing w:after="40"/>
            </w:pPr>
            <w:r>
              <w:rPr>
                <w:b w:val="false"/>
                <w:bCs w:val="false"/>
              </w:rPr>
              <w:t xml:space="preserve">2, 3, 4, 5, 6</w:t>
            </w:r>
          </w:p>
        </w:tc>
        <w:tc>
          <w:tcPr>
            <w:tcW w:type="dxa" w:w="3620"/>
            <w:shd w:fill="D9E2F3" w:val="clear"/>
            <w:tcMar>
              <w:top w:type="dxa" w:w="100"/>
              <w:left w:type="dxa" w:w="120"/>
              <w:bottom w:type="dxa" w:w="100"/>
              <w:right w:type="dxa" w:w="120"/>
            </w:tcMar>
          </w:tcPr>
          <w:p>
            <w:pPr>
              <w:spacing w:after="40"/>
            </w:pPr>
            <w:r>
              <w:rPr>
                <w:b w:val="false"/>
                <w:bCs w:val="false"/>
              </w:rPr>
              <w:t xml:space="preserve">Engineering — within direct control</w:t>
            </w:r>
          </w:p>
        </w:tc>
      </w:tr>
      <w:tr>
        <w:tc>
          <w:tcPr>
            <w:tcW w:type="dxa" w:w="2340"/>
            <w:tcMar>
              <w:top w:type="dxa" w:w="100"/>
              <w:left w:type="dxa" w:w="120"/>
              <w:bottom w:type="dxa" w:w="100"/>
              <w:right w:type="dxa" w:w="120"/>
            </w:tcMar>
          </w:tcPr>
          <w:p>
            <w:pPr>
              <w:spacing w:after="40"/>
            </w:pPr>
            <w:r>
              <w:rPr>
                <w:b/>
                <w:bCs/>
              </w:rPr>
              <w:t xml:space="preserve">Wait time</w:t>
            </w:r>
          </w:p>
        </w:tc>
        <w:tc>
          <w:tcPr>
            <w:tcW w:type="dxa" w:w="3400"/>
            <w:tcMar>
              <w:top w:type="dxa" w:w="100"/>
              <w:left w:type="dxa" w:w="120"/>
              <w:bottom w:type="dxa" w:w="100"/>
              <w:right w:type="dxa" w:w="120"/>
            </w:tcMar>
          </w:tcPr>
          <w:p>
            <w:pPr>
              <w:spacing w:after="40"/>
            </w:pPr>
            <w:r>
              <w:rPr>
                <w:b w:val="false"/>
                <w:bCs w:val="false"/>
              </w:rPr>
              <w:t xml:space="preserve">7, 8, 9</w:t>
            </w:r>
          </w:p>
        </w:tc>
        <w:tc>
          <w:tcPr>
            <w:tcW w:type="dxa" w:w="3620"/>
            <w:tcMar>
              <w:top w:type="dxa" w:w="100"/>
              <w:left w:type="dxa" w:w="120"/>
              <w:bottom w:type="dxa" w:w="100"/>
              <w:right w:type="dxa" w:w="120"/>
            </w:tcMar>
          </w:tcPr>
          <w:p>
            <w:pPr>
              <w:spacing w:after="40"/>
            </w:pPr>
            <w:r>
              <w:rPr>
                <w:b w:val="false"/>
                <w:bCs w:val="false"/>
              </w:rPr>
              <w:t xml:space="preserve">Release owner, PMO, business owners</w:t>
            </w:r>
          </w:p>
        </w:tc>
      </w:tr>
      <w:tr>
        <w:tc>
          <w:tcPr>
            <w:tcW w:type="dxa" w:w="2340"/>
            <w:shd w:fill="D9E2F3" w:val="clear"/>
            <w:tcMar>
              <w:top w:type="dxa" w:w="100"/>
              <w:left w:type="dxa" w:w="120"/>
              <w:bottom w:type="dxa" w:w="100"/>
              <w:right w:type="dxa" w:w="120"/>
            </w:tcMar>
          </w:tcPr>
          <w:p>
            <w:pPr>
              <w:spacing w:after="40"/>
            </w:pPr>
            <w:r>
              <w:rPr>
                <w:b/>
                <w:bCs/>
              </w:rPr>
              <w:t xml:space="preserve">Scale and sustainment</w:t>
            </w:r>
          </w:p>
        </w:tc>
        <w:tc>
          <w:tcPr>
            <w:tcW w:type="dxa" w:w="3400"/>
            <w:shd w:fill="D9E2F3" w:val="clear"/>
            <w:tcMar>
              <w:top w:type="dxa" w:w="100"/>
              <w:left w:type="dxa" w:w="120"/>
              <w:bottom w:type="dxa" w:w="100"/>
              <w:right w:type="dxa" w:w="120"/>
            </w:tcMar>
          </w:tcPr>
          <w:p>
            <w:pPr>
              <w:spacing w:after="40"/>
            </w:pPr>
            <w:r>
              <w:rPr>
                <w:b w:val="false"/>
                <w:bCs w:val="false"/>
              </w:rPr>
              <w:t xml:space="preserve">10, 11</w:t>
            </w:r>
          </w:p>
        </w:tc>
        <w:tc>
          <w:tcPr>
            <w:tcW w:type="dxa" w:w="3620"/>
            <w:shd w:fill="D9E2F3" w:val="clear"/>
            <w:tcMar>
              <w:top w:type="dxa" w:w="100"/>
              <w:left w:type="dxa" w:w="120"/>
              <w:bottom w:type="dxa" w:w="100"/>
              <w:right w:type="dxa" w:w="120"/>
            </w:tcMar>
          </w:tcPr>
          <w:p>
            <w:pPr>
              <w:spacing w:after="40"/>
            </w:pPr>
            <w:r>
              <w:rPr>
                <w:b w:val="false"/>
                <w:bCs w:val="false"/>
              </w:rPr>
              <w:t xml:space="preserve">Engineering leadership</w:t>
            </w:r>
          </w:p>
        </w:tc>
      </w:tr>
    </w:tbl>
    <w:p>
      <w:pPr>
        <w:pStyle w:val="Heading1"/>
        <w:spacing w:after="160" w:before="320"/>
      </w:pPr>
      <w:r>
        <w:t xml:space="preserve">3.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300"/>
        <w:gridCol w:w="1900"/>
        <w:gridCol w:w="3600"/>
      </w:tblGrid>
      <w:tr>
        <w:trPr>
          <w:tblHeader/>
        </w:trPr>
        <w:tc>
          <w:tcPr>
            <w:tcW w:type="dxa" w:w="560"/>
            <w:shd w:fill="1F3864" w:val="clear"/>
            <w:tcMar>
              <w:top w:type="dxa" w:w="100"/>
              <w:left w:type="dxa" w:w="120"/>
              <w:bottom w:type="dxa" w:w="100"/>
              <w:right w:type="dxa" w:w="120"/>
            </w:tcMar>
          </w:tcPr>
          <w:p>
            <w:pPr>
              <w:spacing w:after="40"/>
            </w:pPr>
            <w:r>
              <w:rPr>
                <w:b/>
                <w:bCs/>
                <w:color w:val="FFFFFF"/>
              </w:rPr>
              <w:t xml:space="preserve">#</w:t>
            </w:r>
          </w:p>
        </w:tc>
        <w:tc>
          <w:tcPr>
            <w:tcW w:type="dxa" w:w="3300"/>
            <w:shd w:fill="1F3864" w:val="clear"/>
            <w:tcMar>
              <w:top w:type="dxa" w:w="100"/>
              <w:left w:type="dxa" w:w="120"/>
              <w:bottom w:type="dxa" w:w="100"/>
              <w:right w:type="dxa" w:w="120"/>
            </w:tcMar>
          </w:tcPr>
          <w:p>
            <w:pPr>
              <w:spacing w:after="40"/>
            </w:pPr>
            <w:r>
              <w:rPr>
                <w:b/>
                <w:bCs/>
                <w:color w:val="FFFFFF"/>
              </w:rPr>
              <w:t xml:space="preserve">Phase</w:t>
            </w:r>
          </w:p>
        </w:tc>
        <w:tc>
          <w:tcPr>
            <w:tcW w:type="dxa" w:w="1900"/>
            <w:shd w:fill="1F3864" w:val="clear"/>
            <w:tcMar>
              <w:top w:type="dxa" w:w="100"/>
              <w:left w:type="dxa" w:w="120"/>
              <w:bottom w:type="dxa" w:w="100"/>
              <w:right w:type="dxa" w:w="120"/>
            </w:tcMar>
          </w:tcPr>
          <w:p>
            <w:pPr>
              <w:spacing w:after="40"/>
            </w:pPr>
            <w:r>
              <w:rPr>
                <w:b/>
                <w:bCs/>
                <w:color w:val="FFFFFF"/>
              </w:rPr>
              <w:t xml:space="preserve">Workstream</w:t>
            </w:r>
          </w:p>
        </w:tc>
        <w:tc>
          <w:tcPr>
            <w:tcW w:type="dxa" w:w="3600"/>
            <w:shd w:fill="1F3864" w:val="clear"/>
            <w:tcMar>
              <w:top w:type="dxa" w:w="100"/>
              <w:left w:type="dxa" w:w="120"/>
              <w:bottom w:type="dxa" w:w="100"/>
              <w:right w:type="dxa" w:w="120"/>
            </w:tcMar>
          </w:tcPr>
          <w:p>
            <w:pPr>
              <w:spacing w:after="40"/>
            </w:pPr>
            <w:r>
              <w:rPr>
                <w:b/>
                <w:bCs/>
                <w:color w:val="FFFFFF"/>
              </w:rPr>
              <w:t xml:space="preserve">Dependency</w:t>
            </w:r>
          </w:p>
        </w:tc>
      </w:tr>
      <w:tr>
        <w:tc>
          <w:tcPr>
            <w:tcW w:type="dxa" w:w="560"/>
            <w:tcMar>
              <w:top w:type="dxa" w:w="100"/>
              <w:left w:type="dxa" w:w="120"/>
              <w:bottom w:type="dxa" w:w="100"/>
              <w:right w:type="dxa" w:w="120"/>
            </w:tcMar>
          </w:tcPr>
          <w:p>
            <w:pPr>
              <w:spacing w:after="40"/>
            </w:pPr>
            <w:r>
              <w:rPr>
                <w:b w:val="false"/>
                <w:bCs w:val="false"/>
              </w:rPr>
              <w:t xml:space="preserve">0</w:t>
            </w:r>
          </w:p>
        </w:tc>
        <w:tc>
          <w:tcPr>
            <w:tcW w:type="dxa" w:w="3300"/>
            <w:tcMar>
              <w:top w:type="dxa" w:w="100"/>
              <w:left w:type="dxa" w:w="120"/>
              <w:bottom w:type="dxa" w:w="100"/>
              <w:right w:type="dxa" w:w="120"/>
            </w:tcMar>
          </w:tcPr>
          <w:p>
            <w:pPr>
              <w:spacing w:after="40"/>
            </w:pPr>
            <w:r>
              <w:rPr>
                <w:b w:val="false"/>
                <w:bCs w:val="false"/>
              </w:rPr>
              <w:t xml:space="preserve">Establish program economics</w:t>
            </w:r>
          </w:p>
        </w:tc>
        <w:tc>
          <w:tcPr>
            <w:tcW w:type="dxa" w:w="1900"/>
            <w:tcMar>
              <w:top w:type="dxa" w:w="100"/>
              <w:left w:type="dxa" w:w="120"/>
              <w:bottom w:type="dxa" w:w="100"/>
              <w:right w:type="dxa" w:w="120"/>
            </w:tcMar>
          </w:tcPr>
          <w:p>
            <w:pPr>
              <w:spacing w:after="40"/>
            </w:pPr>
            <w:r>
              <w:rPr>
                <w:b w:val="false"/>
                <w:bCs w:val="false"/>
              </w:rPr>
              <w:t xml:space="preserve">Economics</w:t>
            </w:r>
          </w:p>
        </w:tc>
        <w:tc>
          <w:tcPr>
            <w:tcW w:type="dxa" w:w="3600"/>
            <w:tcMar>
              <w:top w:type="dxa" w:w="100"/>
              <w:left w:type="dxa" w:w="120"/>
              <w:bottom w:type="dxa" w:w="100"/>
              <w:right w:type="dxa" w:w="120"/>
            </w:tcMar>
          </w:tcPr>
          <w:p>
            <w:pPr>
              <w:spacing w:after="40"/>
            </w:pPr>
            <w:r>
              <w:rPr>
                <w:b w:val="false"/>
                <w:bCs w:val="false"/>
              </w:rPr>
              <w:t xml:space="preserve">None — start immediately</w:t>
            </w:r>
          </w:p>
        </w:tc>
      </w:tr>
      <w:tr>
        <w:tc>
          <w:tcPr>
            <w:tcW w:type="dxa" w:w="560"/>
            <w:shd w:fill="D9E2F3" w:val="clear"/>
            <w:tcMar>
              <w:top w:type="dxa" w:w="100"/>
              <w:left w:type="dxa" w:w="120"/>
              <w:bottom w:type="dxa" w:w="100"/>
              <w:right w:type="dxa" w:w="120"/>
            </w:tcMar>
          </w:tcPr>
          <w:p>
            <w:pPr>
              <w:spacing w:after="40"/>
            </w:pPr>
            <w:r>
              <w:rPr>
                <w:b w:val="false"/>
                <w:bCs w:val="false"/>
              </w:rPr>
              <w:t xml:space="preserve">1</w:t>
            </w:r>
          </w:p>
        </w:tc>
        <w:tc>
          <w:tcPr>
            <w:tcW w:type="dxa" w:w="3300"/>
            <w:shd w:fill="D9E2F3" w:val="clear"/>
            <w:tcMar>
              <w:top w:type="dxa" w:w="100"/>
              <w:left w:type="dxa" w:w="120"/>
              <w:bottom w:type="dxa" w:w="100"/>
              <w:right w:type="dxa" w:w="120"/>
            </w:tcMar>
          </w:tcPr>
          <w:p>
            <w:pPr>
              <w:spacing w:after="40"/>
            </w:pPr>
            <w:r>
              <w:rPr>
                <w:b w:val="false"/>
                <w:bCs w:val="false"/>
              </w:rPr>
              <w:t xml:space="preserve">Instrument the value stream</w:t>
            </w:r>
          </w:p>
        </w:tc>
        <w:tc>
          <w:tcPr>
            <w:tcW w:type="dxa" w:w="1900"/>
            <w:shd w:fill="D9E2F3" w:val="clear"/>
            <w:tcMar>
              <w:top w:type="dxa" w:w="100"/>
              <w:left w:type="dxa" w:w="120"/>
              <w:bottom w:type="dxa" w:w="100"/>
              <w:right w:type="dxa" w:w="120"/>
            </w:tcMar>
          </w:tcPr>
          <w:p>
            <w:pPr>
              <w:spacing w:after="40"/>
            </w:pPr>
            <w:r>
              <w:rPr>
                <w:b w:val="false"/>
                <w:bCs w:val="false"/>
              </w:rPr>
              <w:t xml:space="preserve">Measurement</w:t>
            </w:r>
          </w:p>
        </w:tc>
        <w:tc>
          <w:tcPr>
            <w:tcW w:type="dxa" w:w="3600"/>
            <w:shd w:fill="D9E2F3" w:val="clear"/>
            <w:tcMar>
              <w:top w:type="dxa" w:w="100"/>
              <w:left w:type="dxa" w:w="120"/>
              <w:bottom w:type="dxa" w:w="100"/>
              <w:right w:type="dxa" w:w="120"/>
            </w:tcMar>
          </w:tcPr>
          <w:p>
            <w:pPr>
              <w:spacing w:after="40"/>
            </w:pPr>
            <w:r>
              <w:rPr>
                <w:b w:val="false"/>
                <w:bCs w:val="false"/>
              </w:rPr>
              <w:t xml:space="preserve">None — critical path</w:t>
            </w:r>
          </w:p>
        </w:tc>
      </w:tr>
      <w:tr>
        <w:tc>
          <w:tcPr>
            <w:tcW w:type="dxa" w:w="560"/>
            <w:tcMar>
              <w:top w:type="dxa" w:w="100"/>
              <w:left w:type="dxa" w:w="120"/>
              <w:bottom w:type="dxa" w:w="100"/>
              <w:right w:type="dxa" w:w="120"/>
            </w:tcMar>
          </w:tcPr>
          <w:p>
            <w:pPr>
              <w:spacing w:after="40"/>
            </w:pPr>
            <w:r>
              <w:rPr>
                <w:b w:val="false"/>
                <w:bCs w:val="false"/>
              </w:rPr>
              <w:t xml:space="preserve">2</w:t>
            </w:r>
          </w:p>
        </w:tc>
        <w:tc>
          <w:tcPr>
            <w:tcW w:type="dxa" w:w="3300"/>
            <w:tcMar>
              <w:top w:type="dxa" w:w="100"/>
              <w:left w:type="dxa" w:w="120"/>
              <w:bottom w:type="dxa" w:w="100"/>
              <w:right w:type="dxa" w:w="120"/>
            </w:tcMar>
          </w:tcPr>
          <w:p>
            <w:pPr>
              <w:spacing w:after="40"/>
            </w:pPr>
            <w:r>
              <w:rPr>
                <w:b w:val="false"/>
                <w:bCs w:val="false"/>
              </w:rPr>
              <w:t xml:space="preserve">Stand up the knowledge foundation, scoped to the pilot</w:t>
            </w:r>
          </w:p>
        </w:tc>
        <w:tc>
          <w:tcPr>
            <w:tcW w:type="dxa" w:w="1900"/>
            <w:tcMar>
              <w:top w:type="dxa" w:w="100"/>
              <w:left w:type="dxa" w:w="120"/>
              <w:bottom w:type="dxa" w:w="100"/>
              <w:right w:type="dxa" w:w="120"/>
            </w:tcMar>
          </w:tcPr>
          <w:p>
            <w:pPr>
              <w:spacing w:after="40"/>
            </w:pPr>
            <w:r>
              <w:rPr>
                <w:b w:val="false"/>
                <w:bCs w:val="false"/>
              </w:rPr>
              <w:t xml:space="preserve">Engineering</w:t>
            </w:r>
          </w:p>
        </w:tc>
        <w:tc>
          <w:tcPr>
            <w:tcW w:type="dxa" w:w="3600"/>
            <w:tcMar>
              <w:top w:type="dxa" w:w="100"/>
              <w:left w:type="dxa" w:w="120"/>
              <w:bottom w:type="dxa" w:w="100"/>
              <w:right w:type="dxa" w:w="120"/>
            </w:tcMar>
          </w:tcPr>
          <w:p>
            <w:pPr>
              <w:spacing w:after="40"/>
            </w:pPr>
            <w:r>
              <w:rPr>
                <w:b w:val="false"/>
                <w:bCs w:val="false"/>
              </w:rPr>
              <w:t xml:space="preserve">Phase 1 underway</w:t>
            </w:r>
          </w:p>
        </w:tc>
      </w:tr>
      <w:tr>
        <w:tc>
          <w:tcPr>
            <w:tcW w:type="dxa" w:w="560"/>
            <w:shd w:fill="D9E2F3" w:val="clear"/>
            <w:tcMar>
              <w:top w:type="dxa" w:w="100"/>
              <w:left w:type="dxa" w:w="120"/>
              <w:bottom w:type="dxa" w:w="100"/>
              <w:right w:type="dxa" w:w="120"/>
            </w:tcMar>
          </w:tcPr>
          <w:p>
            <w:pPr>
              <w:spacing w:after="40"/>
            </w:pPr>
            <w:r>
              <w:rPr>
                <w:b w:val="false"/>
                <w:bCs w:val="false"/>
              </w:rPr>
              <w:t xml:space="preserve">3</w:t>
            </w:r>
          </w:p>
        </w:tc>
        <w:tc>
          <w:tcPr>
            <w:tcW w:type="dxa" w:w="3300"/>
            <w:shd w:fill="D9E2F3" w:val="clear"/>
            <w:tcMar>
              <w:top w:type="dxa" w:w="100"/>
              <w:left w:type="dxa" w:w="120"/>
              <w:bottom w:type="dxa" w:w="100"/>
              <w:right w:type="dxa" w:w="120"/>
            </w:tcMar>
          </w:tcPr>
          <w:p>
            <w:pPr>
              <w:spacing w:after="40"/>
            </w:pPr>
            <w:r>
              <w:rPr>
                <w:b w:val="false"/>
                <w:bCs w:val="false"/>
              </w:rPr>
              <w:t xml:space="preserve">Run the flagship project as an instrumented pilot</w:t>
            </w:r>
          </w:p>
        </w:tc>
        <w:tc>
          <w:tcPr>
            <w:tcW w:type="dxa" w:w="1900"/>
            <w:shd w:fill="D9E2F3" w:val="clear"/>
            <w:tcMar>
              <w:top w:type="dxa" w:w="100"/>
              <w:left w:type="dxa" w:w="120"/>
              <w:bottom w:type="dxa" w:w="100"/>
              <w:right w:type="dxa" w:w="120"/>
            </w:tcMar>
          </w:tcPr>
          <w:p>
            <w:pPr>
              <w:spacing w:after="40"/>
            </w:pPr>
            <w:r>
              <w:rPr>
                <w:b w:val="false"/>
                <w:bCs w:val="false"/>
              </w:rPr>
              <w:t xml:space="preserve">Engineering</w:t>
            </w:r>
          </w:p>
        </w:tc>
        <w:tc>
          <w:tcPr>
            <w:tcW w:type="dxa" w:w="3600"/>
            <w:shd w:fill="D9E2F3" w:val="clear"/>
            <w:tcMar>
              <w:top w:type="dxa" w:w="100"/>
              <w:left w:type="dxa" w:w="120"/>
              <w:bottom w:type="dxa" w:w="100"/>
              <w:right w:type="dxa" w:w="120"/>
            </w:tcMar>
          </w:tcPr>
          <w:p>
            <w:pPr>
              <w:spacing w:after="40"/>
            </w:pPr>
            <w:r>
              <w:rPr>
                <w:b w:val="false"/>
                <w:bCs w:val="false"/>
              </w:rPr>
              <w:t xml:space="preserve">Phases 1–2 underway</w:t>
            </w:r>
          </w:p>
        </w:tc>
      </w:tr>
      <w:tr>
        <w:tc>
          <w:tcPr>
            <w:tcW w:type="dxa" w:w="560"/>
            <w:tcMar>
              <w:top w:type="dxa" w:w="100"/>
              <w:left w:type="dxa" w:w="120"/>
              <w:bottom w:type="dxa" w:w="100"/>
              <w:right w:type="dxa" w:w="120"/>
            </w:tcMar>
          </w:tcPr>
          <w:p>
            <w:pPr>
              <w:spacing w:after="40"/>
            </w:pPr>
            <w:r>
              <w:rPr>
                <w:b w:val="false"/>
                <w:bCs w:val="false"/>
              </w:rPr>
              <w:t xml:space="preserve">4</w:t>
            </w:r>
          </w:p>
        </w:tc>
        <w:tc>
          <w:tcPr>
            <w:tcW w:type="dxa" w:w="3300"/>
            <w:tcMar>
              <w:top w:type="dxa" w:w="100"/>
              <w:left w:type="dxa" w:w="120"/>
              <w:bottom w:type="dxa" w:w="100"/>
              <w:right w:type="dxa" w:w="120"/>
            </w:tcMar>
          </w:tcPr>
          <w:p>
            <w:pPr>
              <w:spacing w:after="40"/>
            </w:pPr>
            <w:r>
              <w:rPr>
                <w:b w:val="false"/>
                <w:bCs w:val="false"/>
              </w:rPr>
              <w:t xml:space="preserve">Codify a BA agentic workflow</w:t>
            </w:r>
          </w:p>
        </w:tc>
        <w:tc>
          <w:tcPr>
            <w:tcW w:type="dxa" w:w="1900"/>
            <w:tcMar>
              <w:top w:type="dxa" w:w="100"/>
              <w:left w:type="dxa" w:w="120"/>
              <w:bottom w:type="dxa" w:w="100"/>
              <w:right w:type="dxa" w:w="120"/>
            </w:tcMar>
          </w:tcPr>
          <w:p>
            <w:pPr>
              <w:spacing w:after="40"/>
            </w:pPr>
            <w:r>
              <w:rPr>
                <w:b w:val="false"/>
                <w:bCs w:val="false"/>
              </w:rPr>
              <w:t xml:space="preserve">Engineering</w:t>
            </w:r>
          </w:p>
        </w:tc>
        <w:tc>
          <w:tcPr>
            <w:tcW w:type="dxa" w:w="3600"/>
            <w:tcMar>
              <w:top w:type="dxa" w:w="100"/>
              <w:left w:type="dxa" w:w="120"/>
              <w:bottom w:type="dxa" w:w="100"/>
              <w:right w:type="dxa" w:w="120"/>
            </w:tcMar>
          </w:tcPr>
          <w:p>
            <w:pPr>
              <w:spacing w:after="40"/>
            </w:pPr>
            <w:r>
              <w:rPr>
                <w:b w:val="false"/>
                <w:bCs w:val="false"/>
              </w:rPr>
              <w:t xml:space="preserve">Phase 3 underway</w:t>
            </w:r>
          </w:p>
        </w:tc>
      </w:tr>
      <w:tr>
        <w:tc>
          <w:tcPr>
            <w:tcW w:type="dxa" w:w="560"/>
            <w:shd w:fill="D9E2F3" w:val="clear"/>
            <w:tcMar>
              <w:top w:type="dxa" w:w="100"/>
              <w:left w:type="dxa" w:w="120"/>
              <w:bottom w:type="dxa" w:w="100"/>
              <w:right w:type="dxa" w:w="120"/>
            </w:tcMar>
          </w:tcPr>
          <w:p>
            <w:pPr>
              <w:spacing w:after="40"/>
            </w:pPr>
            <w:r>
              <w:rPr>
                <w:b w:val="false"/>
                <w:bCs w:val="false"/>
              </w:rPr>
              <w:t xml:space="preserve">5</w:t>
            </w:r>
          </w:p>
        </w:tc>
        <w:tc>
          <w:tcPr>
            <w:tcW w:type="dxa" w:w="3300"/>
            <w:shd w:fill="D9E2F3" w:val="clear"/>
            <w:tcMar>
              <w:top w:type="dxa" w:w="100"/>
              <w:left w:type="dxa" w:w="120"/>
              <w:bottom w:type="dxa" w:w="100"/>
              <w:right w:type="dxa" w:w="120"/>
            </w:tcMar>
          </w:tcPr>
          <w:p>
            <w:pPr>
              <w:spacing w:after="40"/>
            </w:pPr>
            <w:r>
              <w:rPr>
                <w:b w:val="false"/>
                <w:bCs w:val="false"/>
              </w:rPr>
              <w:t xml:space="preserve">Build the dev competency ladder and skill catalog</w:t>
            </w:r>
          </w:p>
        </w:tc>
        <w:tc>
          <w:tcPr>
            <w:tcW w:type="dxa" w:w="1900"/>
            <w:shd w:fill="D9E2F3" w:val="clear"/>
            <w:tcMar>
              <w:top w:type="dxa" w:w="100"/>
              <w:left w:type="dxa" w:w="120"/>
              <w:bottom w:type="dxa" w:w="100"/>
              <w:right w:type="dxa" w:w="120"/>
            </w:tcMar>
          </w:tcPr>
          <w:p>
            <w:pPr>
              <w:spacing w:after="40"/>
            </w:pPr>
            <w:r>
              <w:rPr>
                <w:b w:val="false"/>
                <w:bCs w:val="false"/>
              </w:rPr>
              <w:t xml:space="preserve">Engineering</w:t>
            </w:r>
          </w:p>
        </w:tc>
        <w:tc>
          <w:tcPr>
            <w:tcW w:type="dxa" w:w="3600"/>
            <w:shd w:fill="D9E2F3" w:val="clear"/>
            <w:tcMar>
              <w:top w:type="dxa" w:w="100"/>
              <w:left w:type="dxa" w:w="120"/>
              <w:bottom w:type="dxa" w:w="100"/>
              <w:right w:type="dxa" w:w="120"/>
            </w:tcMar>
          </w:tcPr>
          <w:p>
            <w:pPr>
              <w:spacing w:after="40"/>
            </w:pPr>
            <w:r>
              <w:rPr>
                <w:b w:val="false"/>
                <w:bCs w:val="false"/>
              </w:rPr>
              <w:t xml:space="preserve">Phase 4 underway</w:t>
            </w:r>
          </w:p>
        </w:tc>
      </w:tr>
      <w:tr>
        <w:tc>
          <w:tcPr>
            <w:tcW w:type="dxa" w:w="560"/>
            <w:tcMar>
              <w:top w:type="dxa" w:w="100"/>
              <w:left w:type="dxa" w:w="120"/>
              <w:bottom w:type="dxa" w:w="100"/>
              <w:right w:type="dxa" w:w="120"/>
            </w:tcMar>
          </w:tcPr>
          <w:p>
            <w:pPr>
              <w:spacing w:after="40"/>
            </w:pPr>
            <w:r>
              <w:rPr>
                <w:b w:val="false"/>
                <w:bCs w:val="false"/>
              </w:rPr>
              <w:t xml:space="preserve">6</w:t>
            </w:r>
          </w:p>
        </w:tc>
        <w:tc>
          <w:tcPr>
            <w:tcW w:type="dxa" w:w="3300"/>
            <w:tcMar>
              <w:top w:type="dxa" w:w="100"/>
              <w:left w:type="dxa" w:w="120"/>
              <w:bottom w:type="dxa" w:w="100"/>
              <w:right w:type="dxa" w:w="120"/>
            </w:tcMar>
          </w:tcPr>
          <w:p>
            <w:pPr>
              <w:spacing w:after="40"/>
            </w:pPr>
            <w:r>
              <w:rPr>
                <w:b w:val="false"/>
                <w:bCs w:val="false"/>
              </w:rPr>
              <w:t xml:space="preserve">Connect the BA → dev → QA handoff</w:t>
            </w:r>
          </w:p>
        </w:tc>
        <w:tc>
          <w:tcPr>
            <w:tcW w:type="dxa" w:w="1900"/>
            <w:tcMar>
              <w:top w:type="dxa" w:w="100"/>
              <w:left w:type="dxa" w:w="120"/>
              <w:bottom w:type="dxa" w:w="100"/>
              <w:right w:type="dxa" w:w="120"/>
            </w:tcMar>
          </w:tcPr>
          <w:p>
            <w:pPr>
              <w:spacing w:after="40"/>
            </w:pPr>
            <w:r>
              <w:rPr>
                <w:b w:val="false"/>
                <w:bCs w:val="false"/>
              </w:rPr>
              <w:t xml:space="preserve">Engineering</w:t>
            </w:r>
          </w:p>
        </w:tc>
        <w:tc>
          <w:tcPr>
            <w:tcW w:type="dxa" w:w="3600"/>
            <w:tcMar>
              <w:top w:type="dxa" w:w="100"/>
              <w:left w:type="dxa" w:w="120"/>
              <w:bottom w:type="dxa" w:w="100"/>
              <w:right w:type="dxa" w:w="120"/>
            </w:tcMar>
          </w:tcPr>
          <w:p>
            <w:pPr>
              <w:spacing w:after="40"/>
            </w:pPr>
            <w:r>
              <w:rPr>
                <w:b w:val="false"/>
                <w:bCs w:val="false"/>
              </w:rPr>
              <w:t xml:space="preserve">Phase 5 underway</w:t>
            </w:r>
          </w:p>
        </w:tc>
      </w:tr>
      <w:tr>
        <w:tc>
          <w:tcPr>
            <w:tcW w:type="dxa" w:w="560"/>
            <w:shd w:fill="D9E2F3" w:val="clear"/>
            <w:tcMar>
              <w:top w:type="dxa" w:w="100"/>
              <w:left w:type="dxa" w:w="120"/>
              <w:bottom w:type="dxa" w:w="100"/>
              <w:right w:type="dxa" w:w="120"/>
            </w:tcMar>
          </w:tcPr>
          <w:p>
            <w:pPr>
              <w:spacing w:after="40"/>
            </w:pPr>
            <w:r>
              <w:rPr>
                <w:b w:val="false"/>
                <w:bCs w:val="false"/>
              </w:rPr>
              <w:t xml:space="preserve">7</w:t>
            </w:r>
          </w:p>
        </w:tc>
        <w:tc>
          <w:tcPr>
            <w:tcW w:type="dxa" w:w="3300"/>
            <w:shd w:fill="D9E2F3" w:val="clear"/>
            <w:tcMar>
              <w:top w:type="dxa" w:w="100"/>
              <w:left w:type="dxa" w:w="120"/>
              <w:bottom w:type="dxa" w:w="100"/>
              <w:right w:type="dxa" w:w="120"/>
            </w:tcMar>
          </w:tcPr>
          <w:p>
            <w:pPr>
              <w:spacing w:after="40"/>
            </w:pPr>
            <w:r>
              <w:rPr>
                <w:b w:val="false"/>
                <w:bCs w:val="false"/>
              </w:rPr>
              <w:t xml:space="preserve">Compress release cadence</w:t>
            </w:r>
          </w:p>
        </w:tc>
        <w:tc>
          <w:tcPr>
            <w:tcW w:type="dxa" w:w="1900"/>
            <w:shd w:fill="D9E2F3" w:val="clear"/>
            <w:tcMar>
              <w:top w:type="dxa" w:w="100"/>
              <w:left w:type="dxa" w:w="120"/>
              <w:bottom w:type="dxa" w:w="100"/>
              <w:right w:type="dxa" w:w="120"/>
            </w:tcMar>
          </w:tcPr>
          <w:p>
            <w:pPr>
              <w:spacing w:after="40"/>
            </w:pPr>
            <w:r>
              <w:rPr>
                <w:b w:val="false"/>
                <w:bCs w:val="false"/>
              </w:rPr>
              <w:t xml:space="preserve">Wait time</w:t>
            </w:r>
          </w:p>
        </w:tc>
        <w:tc>
          <w:tcPr>
            <w:tcW w:type="dxa" w:w="3600"/>
            <w:shd w:fill="D9E2F3" w:val="clear"/>
            <w:tcMar>
              <w:top w:type="dxa" w:w="100"/>
              <w:left w:type="dxa" w:w="120"/>
              <w:bottom w:type="dxa" w:w="100"/>
              <w:right w:type="dxa" w:w="120"/>
            </w:tcMar>
          </w:tcPr>
          <w:p>
            <w:pPr>
              <w:spacing w:after="40"/>
            </w:pPr>
            <w:r>
              <w:rPr>
                <w:b w:val="false"/>
                <w:bCs w:val="false"/>
              </w:rPr>
              <w:t xml:space="preserve">Phase 1 baseline available</w:t>
            </w:r>
          </w:p>
        </w:tc>
      </w:tr>
      <w:tr>
        <w:tc>
          <w:tcPr>
            <w:tcW w:type="dxa" w:w="560"/>
            <w:tcMar>
              <w:top w:type="dxa" w:w="100"/>
              <w:left w:type="dxa" w:w="120"/>
              <w:bottom w:type="dxa" w:w="100"/>
              <w:right w:type="dxa" w:w="120"/>
            </w:tcMar>
          </w:tcPr>
          <w:p>
            <w:pPr>
              <w:spacing w:after="40"/>
            </w:pPr>
            <w:r>
              <w:rPr>
                <w:b w:val="false"/>
                <w:bCs w:val="false"/>
              </w:rPr>
              <w:t xml:space="preserve">8</w:t>
            </w:r>
          </w:p>
        </w:tc>
        <w:tc>
          <w:tcPr>
            <w:tcW w:type="dxa" w:w="3300"/>
            <w:tcMar>
              <w:top w:type="dxa" w:w="100"/>
              <w:left w:type="dxa" w:w="120"/>
              <w:bottom w:type="dxa" w:w="100"/>
              <w:right w:type="dxa" w:w="120"/>
            </w:tcMar>
          </w:tcPr>
          <w:p>
            <w:pPr>
              <w:spacing w:after="40"/>
            </w:pPr>
            <w:r>
              <w:rPr>
                <w:b w:val="false"/>
                <w:bCs w:val="false"/>
              </w:rPr>
              <w:t xml:space="preserve">Address intake and prioritization wait</w:t>
            </w:r>
          </w:p>
        </w:tc>
        <w:tc>
          <w:tcPr>
            <w:tcW w:type="dxa" w:w="1900"/>
            <w:tcMar>
              <w:top w:type="dxa" w:w="100"/>
              <w:left w:type="dxa" w:w="120"/>
              <w:bottom w:type="dxa" w:w="100"/>
              <w:right w:type="dxa" w:w="120"/>
            </w:tcMar>
          </w:tcPr>
          <w:p>
            <w:pPr>
              <w:spacing w:after="40"/>
            </w:pPr>
            <w:r>
              <w:rPr>
                <w:b w:val="false"/>
                <w:bCs w:val="false"/>
              </w:rPr>
              <w:t xml:space="preserve">Wait time</w:t>
            </w:r>
          </w:p>
        </w:tc>
        <w:tc>
          <w:tcPr>
            <w:tcW w:type="dxa" w:w="3600"/>
            <w:tcMar>
              <w:top w:type="dxa" w:w="100"/>
              <w:left w:type="dxa" w:w="120"/>
              <w:bottom w:type="dxa" w:w="100"/>
              <w:right w:type="dxa" w:w="120"/>
            </w:tcMar>
          </w:tcPr>
          <w:p>
            <w:pPr>
              <w:spacing w:after="40"/>
            </w:pPr>
            <w:r>
              <w:rPr>
                <w:b w:val="false"/>
                <w:bCs w:val="false"/>
              </w:rPr>
              <w:t xml:space="preserve">Phase 1 baseline available</w:t>
            </w:r>
          </w:p>
        </w:tc>
      </w:tr>
      <w:tr>
        <w:tc>
          <w:tcPr>
            <w:tcW w:type="dxa" w:w="560"/>
            <w:shd w:fill="D9E2F3" w:val="clear"/>
            <w:tcMar>
              <w:top w:type="dxa" w:w="100"/>
              <w:left w:type="dxa" w:w="120"/>
              <w:bottom w:type="dxa" w:w="100"/>
              <w:right w:type="dxa" w:w="120"/>
            </w:tcMar>
          </w:tcPr>
          <w:p>
            <w:pPr>
              <w:spacing w:after="40"/>
            </w:pPr>
            <w:r>
              <w:rPr>
                <w:b w:val="false"/>
                <w:bCs w:val="false"/>
              </w:rPr>
              <w:t xml:space="preserve">9</w:t>
            </w:r>
          </w:p>
        </w:tc>
        <w:tc>
          <w:tcPr>
            <w:tcW w:type="dxa" w:w="3300"/>
            <w:shd w:fill="D9E2F3" w:val="clear"/>
            <w:tcMar>
              <w:top w:type="dxa" w:w="100"/>
              <w:left w:type="dxa" w:w="120"/>
              <w:bottom w:type="dxa" w:w="100"/>
              <w:right w:type="dxa" w:w="120"/>
            </w:tcMar>
          </w:tcPr>
          <w:p>
            <w:pPr>
              <w:spacing w:after="40"/>
            </w:pPr>
            <w:r>
              <w:rPr>
                <w:b w:val="false"/>
                <w:bCs w:val="false"/>
              </w:rPr>
              <w:t xml:space="preserve">Address adoption and change management</w:t>
            </w:r>
          </w:p>
        </w:tc>
        <w:tc>
          <w:tcPr>
            <w:tcW w:type="dxa" w:w="1900"/>
            <w:shd w:fill="D9E2F3" w:val="clear"/>
            <w:tcMar>
              <w:top w:type="dxa" w:w="100"/>
              <w:left w:type="dxa" w:w="120"/>
              <w:bottom w:type="dxa" w:w="100"/>
              <w:right w:type="dxa" w:w="120"/>
            </w:tcMar>
          </w:tcPr>
          <w:p>
            <w:pPr>
              <w:spacing w:after="40"/>
            </w:pPr>
            <w:r>
              <w:rPr>
                <w:b w:val="false"/>
                <w:bCs w:val="false"/>
              </w:rPr>
              <w:t xml:space="preserve">Wait time</w:t>
            </w:r>
          </w:p>
        </w:tc>
        <w:tc>
          <w:tcPr>
            <w:tcW w:type="dxa" w:w="3600"/>
            <w:shd w:fill="D9E2F3" w:val="clear"/>
            <w:tcMar>
              <w:top w:type="dxa" w:w="100"/>
              <w:left w:type="dxa" w:w="120"/>
              <w:bottom w:type="dxa" w:w="100"/>
              <w:right w:type="dxa" w:w="120"/>
            </w:tcMar>
          </w:tcPr>
          <w:p>
            <w:pPr>
              <w:spacing w:after="40"/>
            </w:pPr>
            <w:r>
              <w:rPr>
                <w:b w:val="false"/>
                <w:bCs w:val="false"/>
              </w:rPr>
              <w:t xml:space="preserve">Phase 1 baseline available</w:t>
            </w:r>
          </w:p>
        </w:tc>
      </w:tr>
      <w:tr>
        <w:tc>
          <w:tcPr>
            <w:tcW w:type="dxa" w:w="560"/>
            <w:tcMar>
              <w:top w:type="dxa" w:w="100"/>
              <w:left w:type="dxa" w:w="120"/>
              <w:bottom w:type="dxa" w:w="100"/>
              <w:right w:type="dxa" w:w="120"/>
            </w:tcMar>
          </w:tcPr>
          <w:p>
            <w:pPr>
              <w:spacing w:after="40"/>
            </w:pPr>
            <w:r>
              <w:rPr>
                <w:b w:val="false"/>
                <w:bCs w:val="false"/>
              </w:rPr>
              <w:t xml:space="preserve">10</w:t>
            </w:r>
          </w:p>
        </w:tc>
        <w:tc>
          <w:tcPr>
            <w:tcW w:type="dxa" w:w="3300"/>
            <w:tcMar>
              <w:top w:type="dxa" w:w="100"/>
              <w:left w:type="dxa" w:w="120"/>
              <w:bottom w:type="dxa" w:w="100"/>
              <w:right w:type="dxa" w:w="120"/>
            </w:tcMar>
          </w:tcPr>
          <w:p>
            <w:pPr>
              <w:spacing w:after="40"/>
            </w:pPr>
            <w:r>
              <w:rPr>
                <w:b w:val="false"/>
                <w:bCs w:val="false"/>
              </w:rPr>
              <w:t xml:space="preserve">Apply governance and scale squad by squad</w:t>
            </w:r>
          </w:p>
        </w:tc>
        <w:tc>
          <w:tcPr>
            <w:tcW w:type="dxa" w:w="1900"/>
            <w:tcMar>
              <w:top w:type="dxa" w:w="100"/>
              <w:left w:type="dxa" w:w="120"/>
              <w:bottom w:type="dxa" w:w="100"/>
              <w:right w:type="dxa" w:w="120"/>
            </w:tcMar>
          </w:tcPr>
          <w:p>
            <w:pPr>
              <w:spacing w:after="40"/>
            </w:pPr>
            <w:r>
              <w:rPr>
                <w:b w:val="false"/>
                <w:bCs w:val="false"/>
              </w:rPr>
              <w:t xml:space="preserve">Scale</w:t>
            </w:r>
          </w:p>
        </w:tc>
        <w:tc>
          <w:tcPr>
            <w:tcW w:type="dxa" w:w="3600"/>
            <w:tcMar>
              <w:top w:type="dxa" w:w="100"/>
              <w:left w:type="dxa" w:w="120"/>
              <w:bottom w:type="dxa" w:w="100"/>
              <w:right w:type="dxa" w:w="120"/>
            </w:tcMar>
          </w:tcPr>
          <w:p>
            <w:pPr>
              <w:spacing w:after="40"/>
            </w:pPr>
            <w:r>
              <w:rPr>
                <w:b w:val="false"/>
                <w:bCs w:val="false"/>
              </w:rPr>
              <w:t xml:space="preserve">Phases 4–6 complete for the pilot</w:t>
            </w:r>
          </w:p>
        </w:tc>
      </w:tr>
      <w:tr>
        <w:tc>
          <w:tcPr>
            <w:tcW w:type="dxa" w:w="560"/>
            <w:shd w:fill="D9E2F3" w:val="clear"/>
            <w:tcMar>
              <w:top w:type="dxa" w:w="100"/>
              <w:left w:type="dxa" w:w="120"/>
              <w:bottom w:type="dxa" w:w="100"/>
              <w:right w:type="dxa" w:w="120"/>
            </w:tcMar>
          </w:tcPr>
          <w:p>
            <w:pPr>
              <w:spacing w:after="40"/>
            </w:pPr>
            <w:r>
              <w:rPr>
                <w:b w:val="false"/>
                <w:bCs w:val="false"/>
              </w:rPr>
              <w:t xml:space="preserve">11</w:t>
            </w:r>
          </w:p>
        </w:tc>
        <w:tc>
          <w:tcPr>
            <w:tcW w:type="dxa" w:w="3300"/>
            <w:shd w:fill="D9E2F3" w:val="clear"/>
            <w:tcMar>
              <w:top w:type="dxa" w:w="100"/>
              <w:left w:type="dxa" w:w="120"/>
              <w:bottom w:type="dxa" w:w="100"/>
              <w:right w:type="dxa" w:w="120"/>
            </w:tcMar>
          </w:tcPr>
          <w:p>
            <w:pPr>
              <w:spacing w:after="40"/>
            </w:pPr>
            <w:r>
              <w:rPr>
                <w:b w:val="false"/>
                <w:bCs w:val="false"/>
              </w:rPr>
              <w:t xml:space="preserve">Establish sustainment and operating review</w:t>
            </w:r>
          </w:p>
        </w:tc>
        <w:tc>
          <w:tcPr>
            <w:tcW w:type="dxa" w:w="1900"/>
            <w:shd w:fill="D9E2F3" w:val="clear"/>
            <w:tcMar>
              <w:top w:type="dxa" w:w="100"/>
              <w:left w:type="dxa" w:w="120"/>
              <w:bottom w:type="dxa" w:w="100"/>
              <w:right w:type="dxa" w:w="120"/>
            </w:tcMar>
          </w:tcPr>
          <w:p>
            <w:pPr>
              <w:spacing w:after="40"/>
            </w:pPr>
            <w:r>
              <w:rPr>
                <w:b w:val="false"/>
                <w:bCs w:val="false"/>
              </w:rPr>
              <w:t xml:space="preserve">Sustainment</w:t>
            </w:r>
          </w:p>
        </w:tc>
        <w:tc>
          <w:tcPr>
            <w:tcW w:type="dxa" w:w="3600"/>
            <w:shd w:fill="D9E2F3" w:val="clear"/>
            <w:tcMar>
              <w:top w:type="dxa" w:w="100"/>
              <w:left w:type="dxa" w:w="120"/>
              <w:bottom w:type="dxa" w:w="100"/>
              <w:right w:type="dxa" w:w="120"/>
            </w:tcMar>
          </w:tcPr>
          <w:p>
            <w:pPr>
              <w:spacing w:after="40"/>
            </w:pPr>
            <w:r>
              <w:rPr>
                <w:b w:val="false"/>
                <w:bCs w:val="false"/>
              </w:rPr>
              <w:t xml:space="preserve">Phase 10 underway</w:t>
            </w:r>
          </w:p>
        </w:tc>
      </w:tr>
    </w:tbl>
    <w:p>
      <w:pPr>
        <w:pStyle w:val="Heading1"/>
        <w:spacing w:after="160" w:before="320"/>
      </w:pPr>
      <w:r>
        <w:t xml:space="preserve">4. Phase Detail</w:t>
      </w:r>
    </w:p>
    <w:p>
      <w:pPr>
        <w:pStyle w:val="Heading2"/>
        <w:spacing w:after="100" w:before="260"/>
      </w:pPr>
      <w:r>
        <w:t xml:space="preserve">Phase 0: Establish program economics</w:t>
      </w:r>
    </w:p>
    <w:p>
      <w:pPr>
        <w:spacing w:after="60"/>
      </w:pPr>
      <w:r>
        <w:rPr>
          <w:b/>
          <w:bCs/>
        </w:rPr>
        <w:t xml:space="preserve">Key activities:</w:t>
      </w:r>
    </w:p>
    <w:p>
      <w:pPr>
        <w:pStyle w:val="ListParagraph"/>
        <w:numPr>
          <w:ilvl w:val="0"/>
          <w:numId w:val="2"/>
        </w:numPr>
        <w:spacing w:after="60"/>
      </w:pPr>
      <w:r>
        <w:t xml:space="preserve">Baseline the full cost of the capability: licenses, engineering time building and maintaining skills, training and ramp time, transition productivity dip</w:t>
      </w:r>
    </w:p>
    <w:p>
      <w:pPr>
        <w:pStyle w:val="ListParagraph"/>
        <w:numPr>
          <w:ilvl w:val="0"/>
          <w:numId w:val="2"/>
        </w:numPr>
        <w:spacing w:after="60"/>
      </w:pPr>
      <w:r>
        <w:t xml:space="preserve">Agree a net-value model with finance — benefit measures minus program cost</w:t>
      </w:r>
    </w:p>
    <w:p>
      <w:pPr>
        <w:pStyle w:val="ListParagraph"/>
        <w:numPr>
          <w:ilvl w:val="0"/>
          <w:numId w:val="2"/>
        </w:numPr>
        <w:spacing w:after="60"/>
      </w:pPr>
      <w:r>
        <w:t xml:space="preserve">Set the reporting unit and cadence for net value</w:t>
      </w:r>
    </w:p>
    <w:p>
      <w:pPr>
        <w:spacing w:after="140"/>
      </w:pPr>
      <w:r>
        <w:rPr>
          <w:i/>
          <w:iCs/>
          <w:color w:val="555555"/>
        </w:rPr>
        <w:t xml:space="preserve">Why: The original ask concerns justifying heavy investment. A benefit-only story invites the immediate question of what the capability costs, and an unprepared answer undermines everything presented alongside it.</w:t>
      </w:r>
    </w:p>
    <w:p>
      <w:pPr>
        <w:shd w:fill="E2EFDA" w:val="clear"/>
        <w:spacing w:after="180" w:before="80"/>
      </w:pPr>
      <w:r>
        <w:rPr>
          <w:i/>
          <w:iCs/>
        </w:rPr>
        <w:t xml:space="preserve">Exit criteria: Finance has reviewed and accepted the cost baseline and net-value model.</w:t>
      </w:r>
    </w:p>
    <w:p>
      <w:pPr>
        <w:shd w:fill="FCE4D6" w:val="clear"/>
        <w:spacing w:after="140" w:before="80"/>
      </w:pPr>
      <w:r>
        <w:rPr>
          <w:i/>
          <w:iCs/>
        </w:rPr>
        <w:t xml:space="preserve">Risk / trade-off: Often skipped because the costs are unflattering. Presenting them proactively is far stronger than having them surfaced by finance later.</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1: Instrument the value stream</w:t>
      </w:r>
    </w:p>
    <w:p>
      <w:pPr>
        <w:spacing w:after="60"/>
      </w:pPr>
      <w:r>
        <w:rPr>
          <w:b/>
          <w:bCs/>
        </w:rPr>
        <w:t xml:space="preserve">Key activities:</w:t>
      </w:r>
    </w:p>
    <w:p>
      <w:pPr>
        <w:pStyle w:val="ListParagraph"/>
        <w:numPr>
          <w:ilvl w:val="0"/>
          <w:numId w:val="2"/>
        </w:numPr>
        <w:spacing w:after="60"/>
      </w:pPr>
      <w:r>
        <w:t xml:space="preserve">Introduce a business capability work item type in ADO linking business need → requirement → build → release → adoption</w:t>
      </w:r>
    </w:p>
    <w:p>
      <w:pPr>
        <w:pStyle w:val="ListParagraph"/>
        <w:numPr>
          <w:ilvl w:val="0"/>
          <w:numId w:val="2"/>
        </w:numPr>
        <w:spacing w:after="60"/>
      </w:pPr>
      <w:r>
        <w:t xml:space="preserve">Capture stage entry/exit timestamps automatically, including funding and prioritization queue entry and exit</w:t>
      </w:r>
    </w:p>
    <w:p>
      <w:pPr>
        <w:pStyle w:val="ListParagraph"/>
        <w:numPr>
          <w:ilvl w:val="0"/>
          <w:numId w:val="2"/>
        </w:numPr>
        <w:spacing w:after="60"/>
      </w:pPr>
      <w:r>
        <w:t xml:space="preserve">Pull baseline stage timings for recently completed projects</w:t>
      </w:r>
    </w:p>
    <w:p>
      <w:pPr>
        <w:pStyle w:val="ListParagraph"/>
        <w:numPr>
          <w:ilvl w:val="0"/>
          <w:numId w:val="2"/>
        </w:numPr>
        <w:spacing w:after="60"/>
      </w:pPr>
      <w:r>
        <w:t xml:space="preserve">Agree the cost-per-incident basis with support/ops and value-per-month basis with business owners</w:t>
      </w:r>
    </w:p>
    <w:p>
      <w:pPr>
        <w:spacing w:after="140"/>
      </w:pPr>
      <w:r>
        <w:rPr>
          <w:i/>
          <w:iCs/>
          <w:color w:val="555555"/>
        </w:rPr>
        <w:t xml:space="preserve">Why: Without a single traceable unit spanning requirement to release, time-to-value is not computable and every reporting cycle becomes a manual reconstruction.</w:t>
      </w:r>
    </w:p>
    <w:p>
      <w:pPr>
        <w:shd w:fill="E2EFDA" w:val="clear"/>
        <w:spacing w:after="180" w:before="80"/>
      </w:pPr>
      <w:r>
        <w:rPr>
          <w:i/>
          <w:iCs/>
        </w:rPr>
        <w:t xml:space="preserve">Exit criteria: Flow efficiency is computable end-to-end for at least one completed project without manual reconstruction.</w:t>
      </w:r>
    </w:p>
    <w:p>
      <w:pPr>
        <w:shd w:fill="FCE4D6" w:val="clear"/>
        <w:spacing w:after="140" w:before="80"/>
      </w:pPr>
      <w:r>
        <w:rPr>
          <w:i/>
          <w:iCs/>
        </w:rPr>
        <w:t xml:space="preserve">Risk / trade-off: Produces no visible capability and is therefore the phase most likely to be deferred. Deferral means the pilot yields no usable evidence.</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2: Stand up the knowledge foundation, scoped to the pilot</w:t>
      </w:r>
    </w:p>
    <w:p>
      <w:pPr>
        <w:spacing w:after="60"/>
      </w:pPr>
      <w:r>
        <w:rPr>
          <w:b/>
          <w:bCs/>
        </w:rPr>
        <w:t xml:space="preserve">Key activities:</w:t>
      </w:r>
    </w:p>
    <w:p>
      <w:pPr>
        <w:pStyle w:val="ListParagraph"/>
        <w:numPr>
          <w:ilvl w:val="0"/>
          <w:numId w:val="2"/>
        </w:numPr>
        <w:spacing w:after="60"/>
      </w:pPr>
      <w:r>
        <w:t xml:space="preserve">Activate the Application Knowledge Layer for the flagship project's domain only</w:t>
      </w:r>
    </w:p>
    <w:p>
      <w:pPr>
        <w:pStyle w:val="ListParagraph"/>
        <w:numPr>
          <w:ilvl w:val="0"/>
          <w:numId w:val="2"/>
        </w:numPr>
        <w:spacing w:after="60"/>
      </w:pPr>
      <w:r>
        <w:t xml:space="preserve">BA team seeds initial content; other roles contribute from their own perspective</w:t>
      </w:r>
    </w:p>
    <w:p>
      <w:pPr>
        <w:pStyle w:val="ListParagraph"/>
        <w:numPr>
          <w:ilvl w:val="0"/>
          <w:numId w:val="2"/>
        </w:numPr>
        <w:spacing w:after="60"/>
      </w:pPr>
      <w:r>
        <w:t xml:space="preserve">Store as markdown/YAML in the existing git repo with PR workflow; consume via .github/instructions and workspace docs</w:t>
      </w:r>
    </w:p>
    <w:p>
      <w:pPr>
        <w:spacing w:after="140"/>
      </w:pPr>
      <w:r>
        <w:rPr>
          <w:i/>
          <w:iCs/>
          <w:color w:val="555555"/>
        </w:rPr>
        <w:t xml:space="preserve">Why: Agents are only as good as the context they can reach. Scoping to one domain bounds the effort while still proving the model.</w:t>
      </w:r>
    </w:p>
    <w:p>
      <w:pPr>
        <w:shd w:fill="E2EFDA" w:val="clear"/>
        <w:spacing w:after="180" w:before="80"/>
      </w:pPr>
      <w:r>
        <w:rPr>
          <w:i/>
          <w:iCs/>
        </w:rPr>
        <w:t xml:space="preserve">Exit criteria: Agents in the pilot can answer domain questions from the knowledge layer without a human supplying context.</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3: Run the flagship project as an instrumented pilot</w:t>
      </w:r>
    </w:p>
    <w:p>
      <w:pPr>
        <w:spacing w:after="60"/>
      </w:pPr>
      <w:r>
        <w:rPr>
          <w:b/>
          <w:bCs/>
        </w:rPr>
        <w:t xml:space="preserve">Key activities:</w:t>
      </w:r>
    </w:p>
    <w:p>
      <w:pPr>
        <w:pStyle w:val="ListParagraph"/>
        <w:numPr>
          <w:ilvl w:val="0"/>
          <w:numId w:val="2"/>
        </w:numPr>
        <w:spacing w:after="60"/>
      </w:pPr>
      <w:r>
        <w:t xml:space="preserve">Select the flagship project and a small BA + dev squad</w:t>
      </w:r>
    </w:p>
    <w:p>
      <w:pPr>
        <w:pStyle w:val="ListParagraph"/>
        <w:numPr>
          <w:ilvl w:val="0"/>
          <w:numId w:val="2"/>
        </w:numPr>
        <w:spacing w:after="60"/>
      </w:pPr>
      <w:r>
        <w:t xml:space="preserve">Run it fully agentic across BA, dev, and QA</w:t>
      </w:r>
    </w:p>
    <w:p>
      <w:pPr>
        <w:pStyle w:val="ListParagraph"/>
        <w:numPr>
          <w:ilvl w:val="0"/>
          <w:numId w:val="2"/>
        </w:numPr>
        <w:spacing w:after="60"/>
      </w:pPr>
      <w:r>
        <w:t xml:space="preserve">Apply existing sample skills plus a BA-side requirement-intake skill</w:t>
      </w:r>
    </w:p>
    <w:p>
      <w:pPr>
        <w:pStyle w:val="ListParagraph"/>
        <w:numPr>
          <w:ilvl w:val="0"/>
          <w:numId w:val="2"/>
        </w:numPr>
        <w:spacing w:after="60"/>
      </w:pPr>
      <w:r>
        <w:t xml:space="preserve">Record leading indicators from week one</w:t>
      </w:r>
    </w:p>
    <w:p>
      <w:pPr>
        <w:spacing w:after="140"/>
      </w:pPr>
      <w:r>
        <w:rPr>
          <w:i/>
          <w:iCs/>
          <w:color w:val="555555"/>
        </w:rPr>
        <w:t xml:space="preserve">Why: Produces the defensible evidence at scale, distinct from the completed-project retrospective used for near-term reporting.</w:t>
      </w:r>
    </w:p>
    <w:p>
      <w:pPr>
        <w:shd w:fill="E2EFDA" w:val="clear"/>
        <w:spacing w:after="180" w:before="80"/>
      </w:pPr>
      <w:r>
        <w:rPr>
          <w:i/>
          <w:iCs/>
        </w:rPr>
        <w:t xml:space="preserve">Exit criteria: Stage-level timings captured for every stage, with leading indicators trending against baseline.</w:t>
      </w:r>
    </w:p>
    <w:p>
      <w:pPr>
        <w:shd w:fill="FCE4D6" w:val="clear"/>
        <w:spacing w:after="140" w:before="80"/>
      </w:pPr>
      <w:r>
        <w:rPr>
          <w:i/>
          <w:iCs/>
        </w:rPr>
        <w:t xml:space="preserve">Risk / trade-off: Benefit-realized data will not mature within a single reporting cycle. Do not position this pilot as the source of near-term numbers.</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4: Codify a BA agentic workflow</w:t>
      </w:r>
    </w:p>
    <w:p>
      <w:pPr>
        <w:spacing w:after="60"/>
      </w:pPr>
      <w:r>
        <w:rPr>
          <w:b/>
          <w:bCs/>
        </w:rPr>
        <w:t xml:space="preserve">Key activities:</w:t>
      </w:r>
    </w:p>
    <w:p>
      <w:pPr>
        <w:pStyle w:val="ListParagraph"/>
        <w:numPr>
          <w:ilvl w:val="0"/>
          <w:numId w:val="2"/>
        </w:numPr>
        <w:spacing w:after="60"/>
      </w:pPr>
      <w:r>
        <w:t xml:space="preserve">Build a BA-specific agent/skill set: requirement intake → knowledge-layer contribution → user story and acceptance criteria generation</w:t>
      </w:r>
    </w:p>
    <w:p>
      <w:pPr>
        <w:pStyle w:val="ListParagraph"/>
        <w:numPr>
          <w:ilvl w:val="0"/>
          <w:numId w:val="2"/>
        </w:numPr>
        <w:spacing w:after="60"/>
      </w:pPr>
      <w:r>
        <w:t xml:space="preserve">Mirror the QA plan / explore / script / test pattern with a BA-equivalent sequence</w:t>
      </w:r>
    </w:p>
    <w:p>
      <w:pPr>
        <w:pStyle w:val="ListParagraph"/>
        <w:numPr>
          <w:ilvl w:val="0"/>
          <w:numId w:val="2"/>
        </w:numPr>
        <w:spacing w:after="60"/>
      </w:pPr>
      <w:r>
        <w:t xml:space="preserve">Define how the BA role changes under this workflow, explicitly and in writing</w:t>
      </w:r>
    </w:p>
    <w:p>
      <w:pPr>
        <w:spacing w:after="140"/>
      </w:pPr>
      <w:r>
        <w:rPr>
          <w:i/>
          <w:iCs/>
          <w:color w:val="555555"/>
        </w:rPr>
        <w:t xml:space="preserve">Why: BA is upstream of everything; if it stays manual, downstream gains sit idle. Role ambiguity is the main source of resistance once the model moves past pilot scale.</w:t>
      </w:r>
    </w:p>
    <w:p>
      <w:pPr>
        <w:shd w:fill="E2EFDA" w:val="clear"/>
        <w:spacing w:after="180" w:before="80"/>
      </w:pPr>
      <w:r>
        <w:rPr>
          <w:i/>
          <w:iCs/>
        </w:rPr>
        <w:t xml:space="preserve">Exit criteria: At least one BA completes a full requirement cycle using the workflow unaided and would choose to use it again.</w:t>
      </w:r>
    </w:p>
    <w:p>
      <w:pPr>
        <w:shd w:fill="FCE4D6" w:val="clear"/>
        <w:spacing w:after="140" w:before="80"/>
      </w:pPr>
      <w:r>
        <w:rPr>
          <w:i/>
          <w:iCs/>
        </w:rPr>
        <w:t xml:space="preserve">Risk / trade-off: Highest-risk, highest-payoff phase. If two full cycles pass without a BA advocate emerging, redesign the workflow rather than extending the ramp.</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5: Build the dev competency ladder and skill catalog</w:t>
      </w:r>
    </w:p>
    <w:p>
      <w:pPr>
        <w:spacing w:after="60"/>
      </w:pPr>
      <w:r>
        <w:rPr>
          <w:b/>
          <w:bCs/>
        </w:rPr>
        <w:t xml:space="preserve">Key activities:</w:t>
      </w:r>
    </w:p>
    <w:p>
      <w:pPr>
        <w:pStyle w:val="ListParagraph"/>
        <w:numPr>
          <w:ilvl w:val="0"/>
          <w:numId w:val="2"/>
        </w:numPr>
        <w:spacing w:after="60"/>
      </w:pPr>
      <w:r>
        <w:t xml:space="preserve">Reuse the User / Author / Architect competency ladder and kata model built for QA</w:t>
      </w:r>
    </w:p>
    <w:p>
      <w:pPr>
        <w:pStyle w:val="ListParagraph"/>
        <w:numPr>
          <w:ilvl w:val="0"/>
          <w:numId w:val="2"/>
        </w:numPr>
        <w:spacing w:after="60"/>
      </w:pPr>
      <w:r>
        <w:t xml:space="preserve">Grow the sample dev skills into a curated catalog of high-value agents, skills, instructions, and prompts</w:t>
      </w:r>
    </w:p>
    <w:p>
      <w:pPr>
        <w:spacing w:after="140"/>
      </w:pPr>
      <w:r>
        <w:rPr>
          <w:i/>
          <w:iCs/>
          <w:color w:val="555555"/>
        </w:rPr>
        <w:t xml:space="preserve">Why: The structured rollout — ladder, katas, curated catalog — is what converted ad hoc Copilot use into a measurable team-level gain in QA.</w:t>
      </w:r>
    </w:p>
    <w:p>
      <w:pPr>
        <w:shd w:fill="E2EFDA" w:val="clear"/>
        <w:spacing w:after="180" w:before="80"/>
      </w:pPr>
      <w:r>
        <w:rPr>
          <w:i/>
          <w:iCs/>
        </w:rPr>
        <w:t xml:space="preserve">Exit criteria: Majority of the pilot dev team at Author level, with a curated catalog under version control.</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6: Connect the BA → dev → QA handoff</w:t>
      </w:r>
    </w:p>
    <w:p>
      <w:pPr>
        <w:spacing w:after="60"/>
      </w:pPr>
      <w:r>
        <w:rPr>
          <w:b/>
          <w:bCs/>
        </w:rPr>
        <w:t xml:space="preserve">Key activities:</w:t>
      </w:r>
    </w:p>
    <w:p>
      <w:pPr>
        <w:pStyle w:val="ListParagraph"/>
        <w:numPr>
          <w:ilvl w:val="0"/>
          <w:numId w:val="2"/>
        </w:numPr>
        <w:spacing w:after="60"/>
      </w:pPr>
      <w:r>
        <w:t xml:space="preserve">Ensure BA's knowledge-layer contribution becomes dev's context, and dev's implementation becomes QA's test target</w:t>
      </w:r>
    </w:p>
    <w:p>
      <w:pPr>
        <w:pStyle w:val="ListParagraph"/>
        <w:numPr>
          <w:ilvl w:val="0"/>
          <w:numId w:val="2"/>
        </w:numPr>
        <w:spacing w:after="60"/>
      </w:pPr>
      <w:r>
        <w:t xml:space="preserve">Keep .github conventions consistent across all three teams</w:t>
      </w:r>
    </w:p>
    <w:p>
      <w:pPr>
        <w:spacing w:after="140"/>
      </w:pPr>
      <w:r>
        <w:rPr>
          <w:i/>
          <w:iCs/>
          <w:color w:val="555555"/>
        </w:rPr>
        <w:t xml:space="preserve">Why: Without this, the organization has three separate pockets of speed rather than one compressed value stream.</w:t>
      </w:r>
    </w:p>
    <w:p>
      <w:pPr>
        <w:shd w:fill="E2EFDA" w:val="clear"/>
        <w:spacing w:after="180" w:before="80"/>
      </w:pPr>
      <w:r>
        <w:rPr>
          <w:i/>
          <w:iCs/>
        </w:rPr>
        <w:t xml:space="preserve">Exit criteria: One capability traced end-to-end where each stage consumed the prior stage's agent output without manual rework.</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7: Compress release cadence</w:t>
      </w:r>
    </w:p>
    <w:p>
      <w:pPr>
        <w:spacing w:after="60"/>
      </w:pPr>
      <w:r>
        <w:rPr>
          <w:b/>
          <w:bCs/>
        </w:rPr>
        <w:t xml:space="preserve">Key activities:</w:t>
      </w:r>
    </w:p>
    <w:p>
      <w:pPr>
        <w:pStyle w:val="ListParagraph"/>
        <w:numPr>
          <w:ilvl w:val="0"/>
          <w:numId w:val="2"/>
        </w:numPr>
        <w:spacing w:after="60"/>
      </w:pPr>
      <w:r>
        <w:t xml:space="preserve">Quantify release wait separately from build time</w:t>
      </w:r>
    </w:p>
    <w:p>
      <w:pPr>
        <w:pStyle w:val="ListParagraph"/>
        <w:numPr>
          <w:ilvl w:val="0"/>
          <w:numId w:val="2"/>
        </w:numPr>
        <w:spacing w:after="60"/>
      </w:pPr>
      <w:r>
        <w:t xml:space="preserve">Identify what gates each release — release train schedule, approvals, environment availability, change advisory process</w:t>
      </w:r>
    </w:p>
    <w:p>
      <w:pPr>
        <w:pStyle w:val="ListParagraph"/>
        <w:numPr>
          <w:ilvl w:val="0"/>
          <w:numId w:val="2"/>
        </w:numPr>
        <w:spacing w:after="60"/>
      </w:pPr>
      <w:r>
        <w:t xml:space="preserve">Agree one concrete change with the release owner and measure its effect</w:t>
      </w:r>
    </w:p>
    <w:p>
      <w:pPr>
        <w:spacing w:after="140"/>
      </w:pPr>
      <w:r>
        <w:rPr>
          <w:i/>
          <w:iCs/>
          <w:color w:val="555555"/>
        </w:rPr>
        <w:t xml:space="preserve">Why: Release wait is the one block of non-build time at least partly within engineering's control, which makes it the cheapest wait time to attack. It had no owner in the previous version of this plan.</w:t>
      </w:r>
    </w:p>
    <w:p>
      <w:pPr>
        <w:shd w:fill="E2EFDA" w:val="clear"/>
        <w:spacing w:after="180" w:before="80"/>
      </w:pPr>
      <w:r>
        <w:rPr>
          <w:i/>
          <w:iCs/>
        </w:rPr>
        <w:t xml:space="preserve">Exit criteria: Release wait measured and one gating constraint removed or reduced.</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8: Address intake and prioritization wait</w:t>
      </w:r>
    </w:p>
    <w:p>
      <w:pPr>
        <w:spacing w:after="60"/>
      </w:pPr>
      <w:r>
        <w:rPr>
          <w:b/>
          <w:bCs/>
        </w:rPr>
        <w:t xml:space="preserve">Key activities:</w:t>
      </w:r>
    </w:p>
    <w:p>
      <w:pPr>
        <w:pStyle w:val="ListParagraph"/>
        <w:numPr>
          <w:ilvl w:val="0"/>
          <w:numId w:val="2"/>
        </w:numPr>
        <w:spacing w:after="60"/>
      </w:pPr>
      <w:r>
        <w:t xml:space="preserve">Take the flow-efficiency finding to the PMO or portfolio governance owner</w:t>
      </w:r>
    </w:p>
    <w:p>
      <w:pPr>
        <w:pStyle w:val="ListParagraph"/>
        <w:numPr>
          <w:ilvl w:val="0"/>
          <w:numId w:val="2"/>
        </w:numPr>
        <w:spacing w:after="60"/>
      </w:pPr>
      <w:r>
        <w:t xml:space="preserve">Quantify time between business need identified and funding or prioritization decision</w:t>
      </w:r>
    </w:p>
    <w:p>
      <w:pPr>
        <w:pStyle w:val="ListParagraph"/>
        <w:numPr>
          <w:ilvl w:val="0"/>
          <w:numId w:val="2"/>
        </w:numPr>
        <w:spacing w:after="60"/>
      </w:pPr>
      <w:r>
        <w:t xml:space="preserve">Agree one concrete change and measure its effect on total time-to-value</w:t>
      </w:r>
    </w:p>
    <w:p>
      <w:pPr>
        <w:spacing w:after="140"/>
      </w:pPr>
      <w:r>
        <w:rPr>
          <w:i/>
          <w:iCs/>
          <w:color w:val="555555"/>
        </w:rPr>
        <w:t xml:space="preserve">Why: Typically the single largest block of elapsed time. Engineering compression alone cannot deliver proportional time-to-value improvement while this remains untouched.</w:t>
      </w:r>
    </w:p>
    <w:p>
      <w:pPr>
        <w:shd w:fill="E2EFDA" w:val="clear"/>
        <w:spacing w:after="180" w:before="80"/>
      </w:pPr>
      <w:r>
        <w:rPr>
          <w:i/>
          <w:iCs/>
        </w:rPr>
        <w:t xml:space="preserve">Exit criteria: A named sponsor outside engineering owns this workstream and one change is in effect.</w:t>
      </w:r>
    </w:p>
    <w:p>
      <w:pPr>
        <w:shd w:fill="FCE4D6" w:val="clear"/>
        <w:spacing w:after="140" w:before="80"/>
      </w:pPr>
      <w:r>
        <w:rPr>
          <w:i/>
          <w:iCs/>
        </w:rPr>
        <w:t xml:space="preserve">Risk / trade-off: Depends on stakeholders outside the team's authority. Frame with data rather than as a complaint, and start early.</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9: Address adoption and change management</w:t>
      </w:r>
    </w:p>
    <w:p>
      <w:pPr>
        <w:spacing w:after="60"/>
      </w:pPr>
      <w:r>
        <w:rPr>
          <w:b/>
          <w:bCs/>
        </w:rPr>
        <w:t xml:space="preserve">Key activities:</w:t>
      </w:r>
    </w:p>
    <w:p>
      <w:pPr>
        <w:pStyle w:val="ListParagraph"/>
        <w:numPr>
          <w:ilvl w:val="0"/>
          <w:numId w:val="2"/>
        </w:numPr>
        <w:spacing w:after="60"/>
      </w:pPr>
      <w:r>
        <w:t xml:space="preserve">Measure the gap between release and business adoption</w:t>
      </w:r>
    </w:p>
    <w:p>
      <w:pPr>
        <w:pStyle w:val="ListParagraph"/>
        <w:numPr>
          <w:ilvl w:val="0"/>
          <w:numId w:val="2"/>
        </w:numPr>
        <w:spacing w:after="60"/>
      </w:pPr>
      <w:r>
        <w:t xml:space="preserve">Agree with business owners what accelerates adoption — training, enablement, phased rollout</w:t>
      </w:r>
    </w:p>
    <w:p>
      <w:pPr>
        <w:pStyle w:val="ListParagraph"/>
        <w:numPr>
          <w:ilvl w:val="0"/>
          <w:numId w:val="2"/>
        </w:numPr>
        <w:spacing w:after="60"/>
      </w:pPr>
      <w:r>
        <w:t xml:space="preserve">Build adoption measurement into the capability work item</w:t>
      </w:r>
    </w:p>
    <w:p>
      <w:pPr>
        <w:spacing w:after="140"/>
      </w:pPr>
      <w:r>
        <w:rPr>
          <w:i/>
          <w:iCs/>
          <w:color w:val="555555"/>
        </w:rPr>
        <w:t xml:space="preserve">Why: Delivering earlier produces no benefit acceleration if the business takes as long to adopt. This is a different owner and intervention from intake, and bundling the two causes one to be quietly dropped.</w:t>
      </w:r>
    </w:p>
    <w:p>
      <w:pPr>
        <w:shd w:fill="E2EFDA" w:val="clear"/>
        <w:spacing w:after="180" w:before="80"/>
      </w:pPr>
      <w:r>
        <w:rPr>
          <w:i/>
          <w:iCs/>
        </w:rPr>
        <w:t xml:space="preserve">Exit criteria: Adoption lag measured for at least one capability, with a named business owner accountable for it.</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10: Apply governance and scale squad by squad</w:t>
      </w:r>
    </w:p>
    <w:p>
      <w:pPr>
        <w:spacing w:after="60"/>
      </w:pPr>
      <w:r>
        <w:rPr>
          <w:b/>
          <w:bCs/>
        </w:rPr>
        <w:t xml:space="preserve">Key activities:</w:t>
      </w:r>
    </w:p>
    <w:p>
      <w:pPr>
        <w:pStyle w:val="ListParagraph"/>
        <w:numPr>
          <w:ilvl w:val="0"/>
          <w:numId w:val="2"/>
        </w:numPr>
        <w:spacing w:after="60"/>
      </w:pPr>
      <w:r>
        <w:t xml:space="preserve">Apply the existing Governance Gate to BA/dev agentic workflows before wider rollout</w:t>
      </w:r>
    </w:p>
    <w:p>
      <w:pPr>
        <w:pStyle w:val="ListParagraph"/>
        <w:numPr>
          <w:ilvl w:val="0"/>
          <w:numId w:val="2"/>
        </w:numPr>
        <w:spacing w:after="60"/>
      </w:pPr>
      <w:r>
        <w:t xml:space="preserve">Roll out squad by squad, using flagship outcome data as the proof point for each subsequent team</w:t>
      </w:r>
    </w:p>
    <w:p>
      <w:pPr>
        <w:spacing w:after="140"/>
      </w:pPr>
      <w:r>
        <w:rPr>
          <w:i/>
          <w:iCs/>
          <w:color w:val="555555"/>
        </w:rPr>
        <w:t xml:space="preserve">Why: Each rollout produces the evidence for the next, creating a repeatable cycle rather than a single reporting event.</w:t>
      </w:r>
    </w:p>
    <w:p>
      <w:pPr>
        <w:shd w:fill="E2EFDA" w:val="clear"/>
        <w:spacing w:after="180" w:before="80"/>
      </w:pPr>
      <w:r>
        <w:rPr>
          <w:i/>
          <w:iCs/>
        </w:rPr>
        <w:t xml:space="preserve">Exit criteria: Second squad reaches the pilot squad's stage-level compression without direct hands-on support.</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2"/>
        <w:spacing w:after="100" w:before="260"/>
      </w:pPr>
      <w:r>
        <w:t xml:space="preserve">Phase 11: Establish sustainment and operating review</w:t>
      </w:r>
    </w:p>
    <w:p>
      <w:pPr>
        <w:spacing w:after="60"/>
      </w:pPr>
      <w:r>
        <w:rPr>
          <w:b/>
          <w:bCs/>
        </w:rPr>
        <w:t xml:space="preserve">Key activities:</w:t>
      </w:r>
    </w:p>
    <w:p>
      <w:pPr>
        <w:pStyle w:val="ListParagraph"/>
        <w:numPr>
          <w:ilvl w:val="0"/>
          <w:numId w:val="2"/>
        </w:numPr>
        <w:spacing w:after="60"/>
      </w:pPr>
      <w:r>
        <w:t xml:space="preserve">Assign ownership for every agent, skill, instruction, and prompt in the catalog</w:t>
      </w:r>
    </w:p>
    <w:p>
      <w:pPr>
        <w:pStyle w:val="ListParagraph"/>
        <w:numPr>
          <w:ilvl w:val="0"/>
          <w:numId w:val="2"/>
        </w:numPr>
        <w:spacing w:after="60"/>
      </w:pPr>
      <w:r>
        <w:t xml:space="preserve">Set a review cadence using audit-skill-quality, and define what happens when an owner leaves</w:t>
      </w:r>
    </w:p>
    <w:p>
      <w:pPr>
        <w:pStyle w:val="ListParagraph"/>
        <w:numPr>
          <w:ilvl w:val="0"/>
          <w:numId w:val="2"/>
        </w:numPr>
        <w:spacing w:after="60"/>
      </w:pPr>
      <w:r>
        <w:t xml:space="preserve">Track skill decay — usage rates, override rates, staleness against codebase and business-rule changes</w:t>
      </w:r>
    </w:p>
    <w:p>
      <w:pPr>
        <w:pStyle w:val="ListParagraph"/>
        <w:numPr>
          <w:ilvl w:val="0"/>
          <w:numId w:val="2"/>
        </w:numPr>
        <w:spacing w:after="60"/>
      </w:pPr>
      <w:r>
        <w:t xml:space="preserve">Establish a standing operating review where value stream metrics are examined and acted on</w:t>
      </w:r>
    </w:p>
    <w:p>
      <w:pPr>
        <w:spacing w:after="140"/>
      </w:pPr>
      <w:r>
        <w:rPr>
          <w:i/>
          <w:iCs/>
          <w:color w:val="555555"/>
        </w:rPr>
        <w:t xml:space="preserve">Why: Skills decay as the codebase and business rules change; a skill written early is stale within a year. Over a longer horizon, decay can erase the measured gains. This phase is also what converts the effort from a project that tells a story once into a capability that produces one every cycle.</w:t>
      </w:r>
    </w:p>
    <w:p>
      <w:pPr>
        <w:shd w:fill="E2EFDA" w:val="clear"/>
        <w:spacing w:after="180" w:before="80"/>
      </w:pPr>
      <w:r>
        <w:rPr>
          <w:i/>
          <w:iCs/>
        </w:rPr>
        <w:t xml:space="preserve">Exit criteria: Every catalog item has a named owner, a review cadence is running, and the operating review has met at least twice.</w:t>
      </w:r>
    </w:p>
    <w:p>
      <w:pPr>
        <w:shd w:fill="FCE4D6" w:val="clear"/>
        <w:spacing w:after="140" w:before="80"/>
      </w:pPr>
      <w:r>
        <w:rPr>
          <w:i/>
          <w:iCs/>
        </w:rPr>
        <w:t xml:space="preserve">Risk / trade-off: The longer the program runs, the more this phase determines whether earlier gains hold. Deferring it is the most common way long programs quietly regress.</w:t>
      </w:r>
    </w:p>
    <w:p>
      <w:pPr>
        <w:spacing w:after="120"/>
      </w:pPr>
      <w:r>
        <w:rPr>
          <w:b/>
          <w:bCs/>
        </w:rPr>
        <w:t xml:space="preserve">Owner: </w:t>
      </w:r>
      <w:r>
        <w:rPr>
          <w:color w:val="808080"/>
        </w:rPr>
        <w:t xml:space="preserve">____________________________</w:t>
      </w:r>
    </w:p>
    <w:p>
      <w:pPr>
        <w:spacing w:after="120"/>
      </w:pPr>
      <w:r>
        <w:rPr>
          <w:b/>
          <w:bCs/>
        </w:rPr>
        <w:t xml:space="preserve">Target start date: </w:t>
      </w:r>
      <w:r>
        <w:rPr>
          <w:color w:val="808080"/>
        </w:rPr>
        <w:t xml:space="preserve">____________________________</w:t>
      </w:r>
    </w:p>
    <w:p>
      <w:pPr>
        <w:pStyle w:val="Heading1"/>
        <w:spacing w:after="160" w:before="320"/>
      </w:pPr>
      <w:r>
        <w:t xml:space="preserve">5. Sequencing Notes</w:t>
      </w:r>
    </w:p>
    <w:p>
      <w:pPr>
        <w:pStyle w:val="ListParagraph"/>
        <w:numPr>
          <w:ilvl w:val="0"/>
          <w:numId w:val="2"/>
        </w:numPr>
        <w:spacing w:after="60"/>
      </w:pPr>
      <w:r>
        <w:t xml:space="preserve">Phases 0 and 1 are the critical path. Both produce no visible capability and are therefore the phases most likely to be deferred — deferring either means the program cannot report credibly on its own results.</w:t>
      </w:r>
    </w:p>
    <w:p>
      <w:pPr>
        <w:pStyle w:val="ListParagraph"/>
        <w:numPr>
          <w:ilvl w:val="0"/>
          <w:numId w:val="2"/>
        </w:numPr>
        <w:spacing w:after="60"/>
      </w:pPr>
      <w:r>
        <w:t xml:space="preserve">Phases 7–9 run in parallel with the engineering workstream, not after it. They depend on stakeholders outside engineering and have the longest lead time to secure a sponsor.</w:t>
      </w:r>
    </w:p>
    <w:p>
      <w:pPr>
        <w:pStyle w:val="ListParagraph"/>
        <w:numPr>
          <w:ilvl w:val="0"/>
          <w:numId w:val="2"/>
        </w:numPr>
        <w:spacing w:after="60"/>
      </w:pPr>
      <w:r>
        <w:t xml:space="preserve">Phase 4 (BA) carries the highest risk. Its exit criterion is deliberately behavioral — a BA who would choose to use the workflow again — rather than a completion milestone.</w:t>
      </w:r>
    </w:p>
    <w:p>
      <w:pPr>
        <w:pStyle w:val="ListParagraph"/>
        <w:numPr>
          <w:ilvl w:val="0"/>
          <w:numId w:val="2"/>
        </w:numPr>
        <w:spacing w:after="60"/>
      </w:pPr>
      <w:r>
        <w:t xml:space="preserve">Phase 11 determines whether earlier gains hold over a multi-cycle horizon. On a longer timeline it becomes more important, not less.</w:t>
      </w:r>
    </w:p>
    <w:p>
      <w:pPr>
        <w:pStyle w:val="ListParagraph"/>
        <w:numPr>
          <w:ilvl w:val="0"/>
          <w:numId w:val="2"/>
        </w:numPr>
        <w:spacing w:after="60"/>
      </w:pPr>
      <w:r>
        <w:t xml:space="preserve">Running BA, dev, and QA transitions simultaneously on one squad is faster but riskier. A safer variant staggers BA one sprint ahead of dev.</w:t>
      </w:r>
    </w:p>
    <w:p>
      <w:pPr>
        <w:pStyle w:val="Heading1"/>
        <w:spacing w:after="160" w:before="320"/>
      </w:pPr>
      <w:r>
        <w:t xml:space="preserve">6. Reading the Confidence of This Plan</w:t>
      </w:r>
    </w:p>
    <w:p>
      <w:pPr>
        <w:spacing w:after="140"/>
      </w:pPr>
      <w:r>
        <w:t xml:space="preserve">The engineering workstream is within direct control and has an existing precedent in the QA rollout; confidence there is high. The wait-time workstream is not within direct control, and it governs the majority of elapsed time — so the achievable business outcome depends more on securing sponsors for Phases 8 and 9 than on execution quality within engineering.</w:t>
      </w:r>
    </w:p>
    <w:p>
      <w:pPr>
        <w:spacing w:after="140"/>
      </w:pPr>
      <w:r>
        <w:t xml:space="preserve">Consequently the most useful early signals are not engineering milestones. They are: whether finance accepts the Phase 0 net-value model, whether Phase 1 instrumentation ships rather than slipping, whether a named business sponsor takes Phase 8 or 9, and whether a genuine BA advocate emerges in Phase 4.</w:t>
      </w:r>
    </w:p>
    <w:p>
      <w:pPr>
        <w:pStyle w:val="Heading1"/>
        <w:spacing w:after="160" w:before="320"/>
      </w:pPr>
      <w:r>
        <w:t xml:space="preserve">7. Relationship to the Business Outcome Narrative</w:t>
      </w:r>
    </w:p>
    <w:p>
      <w:pPr>
        <w:spacing w:after="140"/>
      </w:pPr>
      <w:r>
        <w:t xml:space="preserve">Phase 1 supplies the flow-efficiency data presented early in the narrative. Phase 0 supplies the cost side that makes the investment case credible to finance. Phase 3 is Track B, the instrumented pilot. Phases 7 through 9 are the substance of the ask made at the close — and the parts that require leadership to act rather than simply to approve.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2026-08-23T22:22:39.816Z</dcterms:created>
  <dcterms:modified xsi:type="dcterms:W3CDTF">2026-08-23T22:22:39.816Z</dcterms:modified>
</cp:coreProperties>
</file>

<file path=docProps/custom.xml><?xml version="1.0" encoding="utf-8"?>
<Properties xmlns="http://schemas.openxmlformats.org/officeDocument/2006/custom-properties" xmlns:vt="http://schemas.openxmlformats.org/officeDocument/2006/docPropsVTypes"/>
</file>