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Business Value Stream Case Study Template</w:t>
      </w:r>
    </w:p>
    <w:p>
      <w:pPr>
        <w:spacing w:after="300"/>
      </w:pPr>
      <w:r>
        <w:rPr>
          <w:i/>
          <w:iCs/>
          <w:color w:val="555555"/>
        </w:rPr>
        <w:t xml:space="preserve">One flagship project, told as a business outcome story. Fill in as data is gathered.</w:t>
      </w:r>
    </w:p>
    <w:p>
      <w:pPr>
        <w:pStyle w:val="Heading1"/>
        <w:spacing w:after="160" w:before="320"/>
      </w:pPr>
      <w:r>
        <w:t xml:space="preserve">1. Project Identification</w:t>
      </w:r>
    </w:p>
    <w:p>
      <w:pPr>
        <w:spacing w:after="180"/>
      </w:pPr>
      <w:r>
        <w:rPr>
          <w:b/>
          <w:bCs/>
        </w:rPr>
        <w:t xml:space="preserve">Project / capability name: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Business sponsor / KPI owner: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BA / dev / QA team(s) involved: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Comparable baseline project: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Same team as baseline? (Y/N): </w:t>
      </w:r>
      <w:r>
        <w:rPr>
          <w:color w:val="808080"/>
        </w:rPr>
        <w:t xml:space="preserve">______________________________________</w:t>
      </w:r>
    </w:p>
    <w:p>
      <w:pPr>
        <w:shd w:fill="FCE4D6" w:val="clear"/>
        <w:spacing w:after="200" w:before="80"/>
      </w:pPr>
      <w:r>
        <w:rPr>
          <w:i/>
          <w:iCs/>
        </w:rPr>
        <w:t xml:space="preserve">Attribution note: a same-team comparison is materially more defensible than a different-team one. If the teams differ, expect the question and prepare the stage-level isolation evidence in Section 4.</w:t>
      </w:r>
    </w:p>
    <w:p>
      <w:pPr>
        <w:pStyle w:val="Heading1"/>
        <w:spacing w:after="160" w:before="320"/>
      </w:pPr>
      <w:r>
        <w:t xml:space="preserve">2. Value Stream Timeline</w:t>
      </w:r>
    </w:p>
    <w:p>
      <w:pPr>
        <w:spacing w:after="160"/>
      </w:pPr>
      <w:r>
        <w:rPr>
          <w:i/>
          <w:iCs/>
          <w:color w:val="555555"/>
        </w:rPr>
        <w:t xml:space="preserve">Record the date each stage completed for both projects. The queue-exit row matters as much as the build rows — it usually holds more calendar time than dev and QA combined.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Stage</w:t>
            </w:r>
          </w:p>
        </w:tc>
        <w:tc>
          <w:tcPr>
            <w:tcW w:type="dxa" w:w="23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Baseline — date / duration</w:t>
            </w:r>
          </w:p>
        </w:tc>
        <w:tc>
          <w:tcPr>
            <w:tcW w:type="dxa" w:w="23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Flagship — date / duration</w:t>
            </w:r>
          </w:p>
        </w:tc>
        <w:tc>
          <w:tcPr>
            <w:tcW w:type="dxa" w:w="23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Compression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Business need identified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4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Funded / prioritized (queue exit)</w:t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 / requirements complete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4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 complete</w:t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QA complete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4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Released to production</w:t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Capability adopted by business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4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Business benefit realized</w:t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t xml:space="preserve">3. Flow Efficiency</w:t>
      </w:r>
    </w:p>
    <w:p>
      <w:pPr>
        <w:spacing w:after="160"/>
      </w:pPr>
      <w:r>
        <w:rPr>
          <w:i/>
          <w:iCs/>
          <w:color w:val="555555"/>
        </w:rPr>
        <w:t xml:space="preserve">Compute this before promising any headline number — it tells you how much of the total elapsed time your teams actually control.</w:t>
      </w:r>
    </w:p>
    <w:p>
      <w:pPr>
        <w:spacing w:after="180"/>
      </w:pPr>
      <w:r>
        <w:rPr>
          <w:b/>
          <w:bCs/>
        </w:rPr>
        <w:t xml:space="preserve">Total elapsed time (need identified → benefit realized):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Value-add time (BA + dev + QA build time only):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Flow efficiency (value-add ÷ total elapsed, as %):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Largest single block of wait time, and who owns it: </w:t>
      </w:r>
      <w:r>
        <w:rPr>
          <w:color w:val="808080"/>
        </w:rPr>
        <w:t xml:space="preserve">______________________________________</w:t>
      </w:r>
    </w:p>
    <w:p>
      <w:pPr>
        <w:shd w:fill="FCE4D6" w:val="clear"/>
        <w:spacing w:after="200" w:before="80"/>
      </w:pPr>
      <w:r>
        <w:rPr>
          <w:i/>
          <w:iCs/>
        </w:rPr>
        <w:t xml:space="preserve">If build time is 40% of total elapsed time, doubling build speed reduces total time-to-value by only 20%. Know this ratio before leadership does the subtraction themselves.</w:t>
      </w:r>
    </w:p>
    <w:p>
      <w:pPr>
        <w:pStyle w:val="Heading1"/>
        <w:spacing w:after="160" w:before="320"/>
      </w:pPr>
      <w:r>
        <w:t xml:space="preserve">4. Attribution Evidence</w:t>
      </w:r>
    </w:p>
    <w:p>
      <w:pPr>
        <w:spacing w:after="160"/>
      </w:pPr>
      <w:r>
        <w:rPr>
          <w:i/>
          <w:iCs/>
          <w:color w:val="555555"/>
        </w:rPr>
        <w:t xml:space="preserve">Prepare answers to ‘how do you know it was the AI and not a smaller scope or a better team?’ Strongest first.</w:t>
      </w:r>
    </w:p>
    <w:p>
      <w:pPr>
        <w:spacing w:after="60"/>
      </w:pPr>
      <w:r>
        <w:rPr>
          <w:b/>
          <w:bCs/>
        </w:rPr>
        <w:t xml:space="preserve">Stage-level isolation — which stages compressed, which stayed flat:</w:t>
      </w:r>
    </w:p>
    <w:p>
      <w:pPr>
        <w:spacing w:after="180"/>
      </w:pPr>
      <w:r>
        <w:rPr>
          <w:b/>
          <w:bCs/>
        </w:rPr>
        <w:t xml:space="preserve">Stages that compressed: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Stages that stayed flat (expected, since not yet agentic): </w:t>
      </w:r>
      <w:r>
        <w:rPr>
          <w:color w:val="808080"/>
        </w:rPr>
        <w:t xml:space="preserve">______________________________________</w:t>
      </w:r>
    </w:p>
    <w:p>
      <w:pPr>
        <w:spacing w:after="60"/>
      </w:pPr>
      <w:r>
        <w:rPr>
          <w:b/>
          <w:bCs/>
        </w:rPr>
        <w:t xml:space="preserve">Named mechanism — the specific agent/skill and the task it replaced:</w:t>
      </w:r>
    </w:p>
    <w:p>
      <w:pPr>
        <w:spacing w:after="180"/>
      </w:pPr>
      <w:r>
        <w:rPr>
          <w:b/>
          <w:bCs/>
        </w:rPr>
        <w:t xml:space="preserve">Mechanism: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Before → after for that specific task: </w:t>
      </w:r>
      <w:r>
        <w:rPr>
          <w:color w:val="808080"/>
        </w:rPr>
        <w:t xml:space="preserve">______________________________________</w:t>
      </w:r>
    </w:p>
    <w:p>
      <w:pPr>
        <w:spacing w:after="60"/>
      </w:pPr>
      <w:r>
        <w:rPr>
          <w:b/>
          <w:bCs/>
        </w:rPr>
        <w:t xml:space="preserve">Confounders to disclose proactively:</w:t>
      </w:r>
    </w:p>
    <w:p>
      <w:pPr>
        <w:spacing w:after="180"/>
      </w:pPr>
      <w:r>
        <w:rPr>
          <w:b/>
          <w:bCs/>
        </w:rPr>
        <w:t xml:space="preserve">Scope, staffing, or org differences vs. baseline: </w:t>
      </w:r>
      <w:r>
        <w:rPr>
          <w:color w:val="808080"/>
        </w:rPr>
        <w:t xml:space="preserve">______________________________________</w:t>
      </w:r>
    </w:p>
    <w:p>
      <w:pPr>
        <w:pStyle w:val="Heading1"/>
        <w:spacing w:after="160" w:before="320"/>
      </w:pPr>
      <w:r>
        <w:t xml:space="preserve">5. Business Outcome and Cost of Delay</w:t>
      </w:r>
    </w:p>
    <w:p>
      <w:pPr>
        <w:spacing w:after="160"/>
      </w:pPr>
      <w:r>
        <w:rPr>
          <w:i/>
          <w:iCs/>
          <w:color w:val="555555"/>
        </w:rPr>
        <w:t xml:space="preserve">Fill this in with or by the business KPI owner — the $/month figure must come from the business, not from IT.</w:t>
      </w:r>
    </w:p>
    <w:p>
      <w:pPr>
        <w:spacing w:after="180"/>
      </w:pPr>
      <w:r>
        <w:rPr>
          <w:b/>
          <w:bCs/>
        </w:rPr>
        <w:t xml:space="preserve">Business KPI this capability was meant to move: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Estimated value per month once live (business owner's figure):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Weeks/months delivered earlier than baseline: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Cost of delay avoided (value per month × time saved):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Date the business started realizing the benefit: </w:t>
      </w:r>
      <w:r>
        <w:rPr>
          <w:color w:val="808080"/>
        </w:rPr>
        <w:t xml:space="preserve">______________________________________</w:t>
      </w:r>
    </w:p>
    <w:p>
      <w:pPr>
        <w:spacing w:after="60"/>
      </w:pPr>
      <w:r>
        <w:rPr>
          <w:b/>
          <w:bCs/>
        </w:rPr>
        <w:t xml:space="preserve">Direct quote from business owner: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240"/>
      </w:pPr>
      <w:r>
        <w:t xml:space="preserve"> </w:t>
      </w:r>
    </w:p>
    <w:p>
      <w:pPr>
        <w:pStyle w:val="Heading1"/>
        <w:spacing w:after="160" w:before="320"/>
      </w:pPr>
      <w:r>
        <w:t xml:space="preserve">6. Counterfactual</w:t>
      </w:r>
    </w:p>
    <w:p>
      <w:pPr>
        <w:spacing w:after="160"/>
      </w:pPr>
      <w:r>
        <w:rPr>
          <w:i/>
          <w:iCs/>
          <w:color w:val="555555"/>
        </w:rPr>
        <w:t xml:space="preserve">Often the strongest exec evidence — harder to challenge than any percentage.</w:t>
      </w:r>
    </w:p>
    <w:p>
      <w:pPr>
        <w:spacing w:after="180"/>
      </w:pPr>
      <w:r>
        <w:rPr>
          <w:b/>
          <w:bCs/>
        </w:rPr>
        <w:t xml:space="preserve">Work attempted that would not have cleared the ROI bar previously: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Why it was previously infeasible or unfundable: </w:t>
      </w:r>
      <w:r>
        <w:rPr>
          <w:color w:val="808080"/>
        </w:rPr>
        <w:t xml:space="preserve">______________________________________</w:t>
      </w:r>
    </w:p>
    <w:p>
      <w:pPr>
        <w:pStyle w:val="Heading1"/>
        <w:spacing w:after="160" w:before="320"/>
      </w:pPr>
      <w:r>
        <w:t xml:space="preserve">7. Change Responsiveness</w:t>
      </w:r>
    </w:p>
    <w:p>
      <w:pPr>
        <w:spacing w:after="180"/>
      </w:pPr>
      <w:r>
        <w:rPr>
          <w:b/>
          <w:bCs/>
        </w:rPr>
        <w:t xml:space="preserve">What changed mid-project and when: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Time to absorb and re-test (baseline vs. flagship): </w:t>
      </w:r>
      <w:r>
        <w:rPr>
          <w:color w:val="808080"/>
        </w:rPr>
        <w:t xml:space="preserve">______________________________________</w:t>
      </w:r>
    </w:p>
    <w:p>
      <w:pPr>
        <w:pStyle w:val="Heading1"/>
        <w:spacing w:after="160" w:before="320"/>
      </w:pPr>
      <w:r>
        <w:t xml:space="preserve">8. Quality → Cost Avoidance</w:t>
      </w:r>
    </w:p>
    <w:p>
      <w:pPr>
        <w:spacing w:after="180"/>
      </w:pPr>
      <w:r>
        <w:rPr>
          <w:b/>
          <w:bCs/>
        </w:rPr>
        <w:t xml:space="preserve">Defect escape rate — baseline vs. flagship: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Cost-per-incident basis (source: support / ops owner):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Estimated cost or risk avoided: </w:t>
      </w:r>
      <w:r>
        <w:rPr>
          <w:color w:val="808080"/>
        </w:rPr>
        <w:t xml:space="preserve">______________________________________</w:t>
      </w:r>
    </w:p>
    <w:p>
      <w:pPr>
        <w:shd w:fill="FCE4D6" w:val="clear"/>
        <w:spacing w:after="200" w:before="80"/>
      </w:pPr>
      <w:r>
        <w:rPr>
          <w:i/>
          <w:iCs/>
        </w:rPr>
        <w:t xml:space="preserve">Use a cost-per-incident figure owned by support or finance, and label it an estimate. A self-generated dollar number is the easiest thing for finance to dismiss.</w:t>
      </w:r>
    </w:p>
    <w:p>
      <w:pPr>
        <w:pStyle w:val="Heading1"/>
        <w:spacing w:after="160" w:before="320"/>
      </w:pPr>
      <w:r>
        <w:t xml:space="preserve">9. Throughput and Reinvestment</w:t>
      </w:r>
    </w:p>
    <w:p>
      <w:pPr>
        <w:spacing w:after="160"/>
      </w:pPr>
      <w:r>
        <w:rPr>
          <w:i/>
          <w:iCs/>
          <w:color w:val="555555"/>
        </w:rPr>
        <w:t xml:space="preserve">State this as throughput, never as surplus capacity.</w:t>
      </w:r>
    </w:p>
    <w:p>
      <w:pPr>
        <w:spacing w:after="180"/>
      </w:pPr>
      <w:r>
        <w:rPr>
          <w:b/>
          <w:bCs/>
        </w:rPr>
        <w:t xml:space="preserve">Capabilities delivered per quarter — before: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Capabilities delivered per quarter — now: </w:t>
      </w:r>
      <w:r>
        <w:rPr>
          <w:color w:val="808080"/>
        </w:rPr>
        <w:t xml:space="preserve">______________________________________</w:t>
      </w:r>
    </w:p>
    <w:p>
      <w:pPr>
        <w:spacing w:after="180"/>
      </w:pPr>
      <w:r>
        <w:rPr>
          <w:b/>
          <w:bCs/>
        </w:rPr>
        <w:t xml:space="preserve">New work the added throughput enabled: </w:t>
      </w:r>
      <w:r>
        <w:rPr>
          <w:color w:val="808080"/>
        </w:rPr>
        <w:t xml:space="preserve">______________________________________</w:t>
      </w:r>
    </w:p>
    <w:p>
      <w:pPr>
        <w:shd w:fill="FCE4D6" w:val="clear"/>
        <w:spacing w:after="200" w:before="80"/>
      </w:pPr>
      <w:r>
        <w:rPr>
          <w:i/>
          <w:iCs/>
        </w:rPr>
        <w:t xml:space="preserve">Avoid phrasing gains as freed-up capacity or headcount-equivalents. ‘The same team now delivers 6 capabilities per quarter instead of 3’ makes the same point without inviting a headcount conversation.</w:t>
      </w:r>
    </w:p>
    <w:p>
      <w:pPr>
        <w:pStyle w:val="Heading1"/>
        <w:spacing w:after="160" w:before="320"/>
      </w:pPr>
      <w:r>
        <w:t xml:space="preserve">10. Leading Indicators (for in-flight work)</w:t>
      </w:r>
    </w:p>
    <w:p>
      <w:pPr>
        <w:spacing w:after="160"/>
      </w:pPr>
      <w:r>
        <w:rPr>
          <w:i/>
          <w:iCs/>
          <w:color w:val="555555"/>
        </w:rPr>
        <w:t xml:space="preserve">Use these when lagging outcome data has not matured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Indicator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Baseline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Current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Requirements sign-off → first commit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Requirements rework rate</w:t>
            </w:r>
          </w:p>
        </w:tc>
        <w:tc>
          <w:tcPr>
            <w:tcW w:type="dxa" w:w="234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 cycle time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Defects found pre-release vs. post</w:t>
            </w:r>
          </w:p>
        </w:tc>
        <w:tc>
          <w:tcPr>
            <w:tcW w:type="dxa" w:w="234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Week-one adoption rate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t xml:space="preserve">11. Portfolio Validation</w:t>
      </w:r>
    </w:p>
    <w:p>
      <w:pPr>
        <w:spacing w:after="160"/>
      </w:pPr>
      <w:r>
        <w:rPr>
          <w:i/>
          <w:iCs/>
          <w:color w:val="555555"/>
        </w:rPr>
        <w:t xml:space="preserve">Supporting evidence that the flagship case is representative — not the headline.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Project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Time-to-value vs. baseline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Defect escape trend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Cost of delay avoided</w:t>
            </w:r>
          </w:p>
        </w:tc>
      </w:tr>
      <w:tr>
        <w:tc>
          <w:tcPr>
            <w:tcW w:type="dxa" w:w="276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76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76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2026-08-23T22:22:39.449Z</dcterms:created>
  <dcterms:modified xsi:type="dcterms:W3CDTF">2026-08-23T22:22:39.462Z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