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2"/>
          <w:szCs w:val="52"/>
        </w:rPr>
        <w:t xml:space="preserve">Application Knowledge Layer</w:t>
      </w:r>
    </w:p>
    <w:p>
      <w:pPr>
        <w:spacing w:after="600" w:before="200"/>
        <w:jc w:val="center"/>
      </w:pPr>
      <w:r>
        <w:rPr>
          <w:color w:val="2E74B5"/>
          <w:sz w:val="32"/>
          <w:szCs w:val="32"/>
        </w:rPr>
        <w:t xml:space="preserve">Architecture &amp; Technical Documentation</w:t>
      </w:r>
    </w:p>
    <w:p>
      <w:pPr>
        <w:spacing w:after="100"/>
        <w:jc w:val="center"/>
      </w:pPr>
      <w:r>
        <w:rPr>
          <w:i/>
          <w:iCs/>
          <w:sz w:val="22"/>
          <w:szCs w:val="22"/>
        </w:rPr>
        <w:t xml:space="preserve">Enterprise reference for Technical Management, Business Analysis, Development, QA, QA Automation, and Architecture</w:t>
      </w:r>
    </w:p>
    <w:p>
      <w:pPr>
        <w:spacing w:before="1200"/>
        <w:jc w:val="center"/>
      </w:pPr>
      <w:r>
        <w:rPr>
          <w:color w:val="595959"/>
          <w:sz w:val="20"/>
          <w:szCs w:val="20"/>
        </w:rPr>
        <w:t xml:space="preserve">Version 2.0  |  Supersedes v1.0  |  Status: Draft for Team Review</w:t>
      </w:r>
    </w:p>
    <w:p>
      <w:r>
        <w:br w:type="page"/>
      </w:r>
    </w:p>
    <w:p>
      <w:pPr>
        <w:pStyle w:val="Heading1"/>
        <w:spacing w:after="200" w:before="400"/>
      </w:pPr>
      <w:r>
        <w:t xml:space="preserve">Table of Contents</w:t>
      </w:r>
    </w:p>
    <w:p>
      <w:pPr>
        <w:pStyle w:val="ListParagraph"/>
        <w:numPr>
          <w:ilvl w:val="0"/>
          <w:numId w:val="1"/>
        </w:numPr>
        <w:spacing w:after="80" w:line="276"/>
      </w:pPr>
      <w:r>
        <w:t xml:space="preserve">1. Executive Summary</w:t>
      </w:r>
    </w:p>
    <w:p>
      <w:pPr>
        <w:pStyle w:val="ListParagraph"/>
        <w:numPr>
          <w:ilvl w:val="0"/>
          <w:numId w:val="1"/>
        </w:numPr>
        <w:spacing w:after="80" w:line="276"/>
      </w:pPr>
      <w:r>
        <w:t xml:space="preserve">2. What Changed in Version 2.0</w:t>
      </w:r>
    </w:p>
    <w:p>
      <w:pPr>
        <w:pStyle w:val="ListParagraph"/>
        <w:numPr>
          <w:ilvl w:val="0"/>
          <w:numId w:val="1"/>
        </w:numPr>
        <w:spacing w:after="80" w:line="276"/>
      </w:pPr>
      <w:r>
        <w:t xml:space="preserve">3. Why This Matters, By Role</w:t>
      </w:r>
    </w:p>
    <w:p>
      <w:pPr>
        <w:pStyle w:val="ListParagraph"/>
        <w:numPr>
          <w:ilvl w:val="0"/>
          <w:numId w:val="1"/>
        </w:numPr>
        <w:spacing w:after="80" w:line="276"/>
      </w:pPr>
      <w:r>
        <w:t xml:space="preserve">4. Core Architectural Principle: Derived vs. Authored</w:t>
      </w:r>
    </w:p>
    <w:p>
      <w:pPr>
        <w:pStyle w:val="ListParagraph"/>
        <w:numPr>
          <w:ilvl w:val="0"/>
          <w:numId w:val="1"/>
        </w:numPr>
        <w:spacing w:after="80" w:line="276"/>
      </w:pPr>
      <w:r>
        <w:t xml:space="preserve">5. Repository Layout &amp; File Standard</w:t>
      </w:r>
    </w:p>
    <w:p>
      <w:pPr>
        <w:pStyle w:val="ListParagraph"/>
        <w:numPr>
          <w:ilvl w:val="0"/>
          <w:numId w:val="1"/>
        </w:numPr>
        <w:spacing w:after="80" w:line="276"/>
      </w:pPr>
      <w:r>
        <w:t xml:space="preserve">6. Governance Model</w:t>
      </w:r>
    </w:p>
    <w:p>
      <w:pPr>
        <w:pStyle w:val="ListParagraph"/>
        <w:numPr>
          <w:ilvl w:val="0"/>
          <w:numId w:val="1"/>
        </w:numPr>
        <w:spacing w:after="80" w:line="276"/>
      </w:pPr>
      <w:r>
        <w:t xml:space="preserve">7. Enforcement: CI Validation</w:t>
      </w:r>
    </w:p>
    <w:p>
      <w:pPr>
        <w:pStyle w:val="ListParagraph"/>
        <w:numPr>
          <w:ilvl w:val="0"/>
          <w:numId w:val="1"/>
        </w:numPr>
        <w:spacing w:after="80" w:line="276"/>
      </w:pPr>
      <w:r>
        <w:t xml:space="preserve">8. Freshness &amp; Lifecycle</w:t>
      </w:r>
    </w:p>
    <w:p>
      <w:pPr>
        <w:pStyle w:val="ListParagraph"/>
        <w:numPr>
          <w:ilvl w:val="0"/>
          <w:numId w:val="1"/>
        </w:numPr>
        <w:spacing w:after="80" w:line="276"/>
      </w:pPr>
      <w:r>
        <w:t xml:space="preserve">9. AI Agent Integration</w:t>
      </w:r>
    </w:p>
    <w:p>
      <w:pPr>
        <w:pStyle w:val="ListParagraph"/>
        <w:numPr>
          <w:ilvl w:val="0"/>
          <w:numId w:val="1"/>
        </w:numPr>
        <w:spacing w:after="80" w:line="276"/>
      </w:pPr>
      <w:r>
        <w:t xml:space="preserve">10. Security &amp; Compliance</w:t>
      </w:r>
    </w:p>
    <w:p>
      <w:pPr>
        <w:pStyle w:val="ListParagraph"/>
        <w:numPr>
          <w:ilvl w:val="0"/>
          <w:numId w:val="1"/>
        </w:numPr>
        <w:spacing w:after="80" w:line="276"/>
      </w:pPr>
      <w:r>
        <w:t xml:space="preserve">11. Measuring Whether This Works</w:t>
      </w:r>
    </w:p>
    <w:p>
      <w:pPr>
        <w:pStyle w:val="ListParagraph"/>
        <w:numPr>
          <w:ilvl w:val="0"/>
          <w:numId w:val="1"/>
        </w:numPr>
        <w:spacing w:after="80" w:line="276"/>
      </w:pPr>
      <w:r>
        <w:t xml:space="preserve">12. Operating Model</w:t>
      </w:r>
    </w:p>
    <w:p>
      <w:pPr>
        <w:pStyle w:val="ListParagraph"/>
        <w:numPr>
          <w:ilvl w:val="0"/>
          <w:numId w:val="1"/>
        </w:numPr>
        <w:spacing w:after="80" w:line="276"/>
      </w:pPr>
      <w:r>
        <w:t xml:space="preserve">13. Precedent &amp; Industry Validation</w:t>
      </w:r>
    </w:p>
    <w:p>
      <w:pPr>
        <w:pStyle w:val="ListParagraph"/>
        <w:numPr>
          <w:ilvl w:val="0"/>
          <w:numId w:val="1"/>
        </w:numPr>
        <w:spacing w:after="80" w:line="276"/>
      </w:pPr>
      <w:r>
        <w:t xml:space="preserve">14. Rollout Plan</w:t>
      </w:r>
    </w:p>
    <w:p>
      <w:pPr>
        <w:pStyle w:val="ListParagraph"/>
        <w:numPr>
          <w:ilvl w:val="0"/>
          <w:numId w:val="1"/>
        </w:numPr>
        <w:spacing w:after="80" w:line="276"/>
      </w:pPr>
      <w:r>
        <w:t xml:space="preserve">15. Future-Proofing</w:t>
      </w:r>
    </w:p>
    <w:p>
      <w:pPr>
        <w:pStyle w:val="ListParagraph"/>
        <w:numPr>
          <w:ilvl w:val="0"/>
          <w:numId w:val="1"/>
        </w:numPr>
        <w:spacing w:after="80" w:line="276"/>
      </w:pPr>
      <w:r>
        <w:t xml:space="preserve">16. Open Decisions</w:t>
      </w:r>
    </w:p>
    <w:p>
      <w:pPr>
        <w:pStyle w:val="ListParagraph"/>
        <w:numPr>
          <w:ilvl w:val="0"/>
          <w:numId w:val="1"/>
        </w:numPr>
        <w:spacing w:after="80" w:line="276"/>
      </w:pPr>
      <w:r>
        <w:t xml:space="preserve">Appendix A: Candidate Domains &amp; Selection Criteria</w:t>
      </w:r>
    </w:p>
    <w:p>
      <w:pPr>
        <w:pStyle w:val="ListParagraph"/>
        <w:numPr>
          <w:ilvl w:val="0"/>
          <w:numId w:val="1"/>
        </w:numPr>
        <w:spacing w:after="80" w:line="276"/>
      </w:pPr>
      <w:r>
        <w:t xml:space="preserve">Appendix B: Authored Domain Template</w:t>
      </w:r>
    </w:p>
    <w:p>
      <w:pPr>
        <w:pStyle w:val="ListParagraph"/>
        <w:numPr>
          <w:ilvl w:val="0"/>
          <w:numId w:val="1"/>
        </w:numPr>
        <w:spacing w:after="80" w:line="276"/>
      </w:pPr>
      <w:r>
        <w:t xml:space="preserve">Appendix C: Derived Domain Template</w:t>
      </w:r>
    </w:p>
    <w:p>
      <w:pPr>
        <w:pStyle w:val="ListParagraph"/>
        <w:numPr>
          <w:ilvl w:val="0"/>
          <w:numId w:val="1"/>
        </w:numPr>
        <w:spacing w:after="80" w:line="276"/>
      </w:pPr>
      <w:r>
        <w:t xml:space="preserve">Appendix D: Glossary</w:t>
      </w:r>
    </w:p>
    <w:p>
      <w:r>
        <w:br w:type="page"/>
      </w:r>
    </w:p>
    <w:p>
      <w:pPr>
        <w:pStyle w:val="Heading1"/>
        <w:spacing w:after="200" w:before="400"/>
      </w:pPr>
      <w:r>
        <w:t xml:space="preserve">1. Executive Summary</w:t>
      </w:r>
    </w:p>
    <w:p>
      <w:pPr>
        <w:spacing w:after="160" w:line="276"/>
      </w:pPr>
      <w:r>
        <w:t xml:space="preserve">The Application Knowledge Layer (AKL) is a single, version-controlled source of truth for what our application does and why — its business rules, workflows, pages, UI elements, validation logic, non-functional requirements, database schema, API contracts, integrations, domain glossary, and architectural decisions. It is written once, by the team closest to each fact, and reused by every downstream team and by AI coding agents (GitHub Copilot in VS Code) that write, test, and review code against this application.</w:t>
      </w:r>
    </w:p>
    <w:p>
      <w:pPr>
        <w:spacing w:after="160" w:line="276"/>
      </w:pPr>
      <w:r>
        <w:t xml:space="preserve">Today this knowledge is scattered across BA documents, tribal team knowledge, code comments, and chat threads. It goes stale silently, and every team — including AI agents — re-derives it independently, at different levels of accuracy. The AKL replaces that with one governed structure that lives in the same git repository as the code, is reviewed the same way code is reviewed, is validated automatically in CI, and is directly wired into the tools developers already use.</w:t>
      </w:r>
    </w:p>
    <w:p>
      <w:pPr>
        <w:spacing w:after="160" w:line="276"/>
      </w:pPr>
      <w:r>
        <w:rPr>
          <w:b/>
          <w:bCs/>
          <w:color w:val="1F3864"/>
        </w:rPr>
        <w:t xml:space="preserve">Bottom line: </w:t>
      </w:r>
      <w:r>
        <w:t xml:space="preserve">This is not a documentation initiative. It is infrastructure that makes every team — and every AI agent working alongside them — faster and more accurate, because they are working from the same governed facts instead of independently reconstructing them.</w:t>
      </w:r>
    </w:p>
    <w:p>
      <w:pPr>
        <w:pStyle w:val="Heading1"/>
        <w:spacing w:after="200" w:before="400"/>
      </w:pPr>
      <w:r>
        <w:t xml:space="preserve">2. What Changed in Version 2.0</w:t>
      </w:r>
    </w:p>
    <w:p>
      <w:pPr>
        <w:spacing w:after="160" w:line="276"/>
      </w:pPr>
      <w:r>
        <w:t xml:space="preserve">Version 1.0 established the folder structure, federated ownership model, and Copilot wiring. Review identified five structural gaps that would have caused the layer to decay after launch. Version 2.0 addresses 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rPr>
          <w:tblHeader/>
        </w:trPr>
        <w:tc>
          <w:tcPr>
            <w:tcW w:type="dxa" w:w="2400"/>
            <w:shd w:fill="1F3864" w:val="clear"/>
            <w:tcMar>
              <w:top w:type="dxa" w:w="80"/>
              <w:left w:type="dxa" w:w="120"/>
              <w:bottom w:type="dxa" w:w="80"/>
              <w:right w:type="dxa" w:w="120"/>
            </w:tcMar>
            <w:vAlign w:val="center"/>
          </w:tcPr>
          <w:p>
            <w:pPr>
              <w:spacing w:after="0"/>
            </w:pPr>
            <w:r>
              <w:rPr>
                <w:b/>
                <w:bCs/>
                <w:color w:val="FFFFFF"/>
                <w:sz w:val="20"/>
                <w:szCs w:val="20"/>
              </w:rPr>
              <w:t xml:space="preserve">Change</w:t>
            </w:r>
          </w:p>
        </w:tc>
        <w:tc>
          <w:tcPr>
            <w:tcW w:type="dxa" w:w="3500"/>
            <w:shd w:fill="1F3864" w:val="clear"/>
            <w:tcMar>
              <w:top w:type="dxa" w:w="80"/>
              <w:left w:type="dxa" w:w="120"/>
              <w:bottom w:type="dxa" w:w="80"/>
              <w:right w:type="dxa" w:w="120"/>
            </w:tcMar>
            <w:vAlign w:val="center"/>
          </w:tcPr>
          <w:p>
            <w:pPr>
              <w:spacing w:after="0"/>
            </w:pPr>
            <w:r>
              <w:rPr>
                <w:b/>
                <w:bCs/>
                <w:color w:val="FFFFFF"/>
                <w:sz w:val="20"/>
                <w:szCs w:val="20"/>
              </w:rPr>
              <w:t xml:space="preserve">Problem in v1.0</w:t>
            </w:r>
          </w:p>
        </w:tc>
        <w:tc>
          <w:tcPr>
            <w:tcW w:type="dxa" w:w="3450"/>
            <w:shd w:fill="1F3864" w:val="clear"/>
            <w:tcMar>
              <w:top w:type="dxa" w:w="80"/>
              <w:left w:type="dxa" w:w="120"/>
              <w:bottom w:type="dxa" w:w="80"/>
              <w:right w:type="dxa" w:w="120"/>
            </w:tcMar>
            <w:vAlign w:val="center"/>
          </w:tcPr>
          <w:p>
            <w:pPr>
              <w:spacing w:after="0"/>
            </w:pPr>
            <w:r>
              <w:rPr>
                <w:b/>
                <w:bCs/>
                <w:color w:val="FFFFFF"/>
                <w:sz w:val="20"/>
                <w:szCs w:val="20"/>
              </w:rPr>
              <w:t xml:space="preserve">Resolution in v2.0</w:t>
            </w:r>
          </w:p>
        </w:tc>
      </w:tr>
      <w:tr>
        <w:tc>
          <w:tcPr>
            <w:tcW w:type="dxa" w:w="2400"/>
            <w:tcMar>
              <w:top w:type="dxa" w:w="80"/>
              <w:left w:type="dxa" w:w="120"/>
              <w:bottom w:type="dxa" w:w="80"/>
              <w:right w:type="dxa" w:w="120"/>
            </w:tcMar>
            <w:vAlign w:val="center"/>
          </w:tcPr>
          <w:p>
            <w:pPr>
              <w:spacing w:after="0"/>
            </w:pPr>
            <w:r>
              <w:rPr>
                <w:sz w:val="20"/>
                <w:szCs w:val="20"/>
              </w:rPr>
              <w:t xml:space="preserve">Derived vs. authored domains</w:t>
            </w:r>
          </w:p>
        </w:tc>
        <w:tc>
          <w:tcPr>
            <w:tcW w:type="dxa" w:w="3500"/>
            <w:tcMar>
              <w:top w:type="dxa" w:w="80"/>
              <w:left w:type="dxa" w:w="120"/>
              <w:bottom w:type="dxa" w:w="80"/>
              <w:right w:type="dxa" w:w="120"/>
            </w:tcMar>
            <w:vAlign w:val="center"/>
          </w:tcPr>
          <w:p>
            <w:pPr>
              <w:spacing w:after="0"/>
            </w:pPr>
            <w:r>
              <w:rPr>
                <w:sz w:val="20"/>
                <w:szCs w:val="20"/>
              </w:rPr>
              <w:t xml:space="preserve">DB schema and API contracts were hand-written, creating a second source of truth that drifts silently — nothing fails when the doc is wrong</w:t>
            </w:r>
          </w:p>
        </w:tc>
        <w:tc>
          <w:tcPr>
            <w:tcW w:type="dxa" w:w="3450"/>
            <w:tcMar>
              <w:top w:type="dxa" w:w="80"/>
              <w:left w:type="dxa" w:w="120"/>
              <w:bottom w:type="dxa" w:w="80"/>
              <w:right w:type="dxa" w:w="120"/>
            </w:tcMar>
            <w:vAlign w:val="center"/>
          </w:tcPr>
          <w:p>
            <w:pPr>
              <w:spacing w:after="0"/>
            </w:pPr>
            <w:r>
              <w:rPr>
                <w:sz w:val="20"/>
                <w:szCs w:val="20"/>
              </w:rPr>
              <w:t xml:space="preserve">These domains are now generated in CI from migrations and the OpenAPI spec; humans maintain only an Intent section</w:t>
            </w:r>
          </w:p>
        </w:tc>
      </w:tr>
      <w:tr>
        <w:tc>
          <w:tcPr>
            <w:tcW w:type="dxa" w:w="2400"/>
            <w:shd w:fill="FAFAFA" w:val="clear"/>
            <w:tcMar>
              <w:top w:type="dxa" w:w="80"/>
              <w:left w:type="dxa" w:w="120"/>
              <w:bottom w:type="dxa" w:w="80"/>
              <w:right w:type="dxa" w:w="120"/>
            </w:tcMar>
            <w:vAlign w:val="center"/>
          </w:tcPr>
          <w:p>
            <w:pPr>
              <w:spacing w:after="0"/>
            </w:pPr>
            <w:r>
              <w:rPr>
                <w:sz w:val="20"/>
                <w:szCs w:val="20"/>
              </w:rPr>
              <w:t xml:space="preserve">CI enforcement</w:t>
            </w:r>
          </w:p>
        </w:tc>
        <w:tc>
          <w:tcPr>
            <w:tcW w:type="dxa" w:w="3500"/>
            <w:shd w:fill="FAFAFA" w:val="clear"/>
            <w:tcMar>
              <w:top w:type="dxa" w:w="80"/>
              <w:left w:type="dxa" w:w="120"/>
              <w:bottom w:type="dxa" w:w="80"/>
              <w:right w:type="dxa" w:w="120"/>
            </w:tcMar>
            <w:vAlign w:val="center"/>
          </w:tcPr>
          <w:p>
            <w:pPr>
              <w:spacing w:after="0"/>
            </w:pPr>
            <w:r>
              <w:rPr>
                <w:sz w:val="20"/>
                <w:szCs w:val="20"/>
              </w:rPr>
              <w:t xml:space="preserve">Governance was policy without machinery — no validation of frontmatter, IDs, links, or draft exclusion</w:t>
            </w:r>
          </w:p>
        </w:tc>
        <w:tc>
          <w:tcPr>
            <w:tcW w:type="dxa" w:w="3450"/>
            <w:shd w:fill="FAFAFA" w:val="clear"/>
            <w:tcMar>
              <w:top w:type="dxa" w:w="80"/>
              <w:left w:type="dxa" w:w="120"/>
              <w:bottom w:type="dxa" w:w="80"/>
              <w:right w:type="dxa" w:w="120"/>
            </w:tcMar>
            <w:vAlign w:val="center"/>
          </w:tcPr>
          <w:p>
            <w:pPr>
              <w:spacing w:after="0"/>
            </w:pPr>
            <w:r>
              <w:rPr>
                <w:sz w:val="20"/>
                <w:szCs w:val="20"/>
              </w:rPr>
              <w:t xml:space="preserve">A validation workflow blocks any PR that breaks the standard; seven checks defined in Section 7</w:t>
            </w:r>
          </w:p>
        </w:tc>
      </w:tr>
      <w:tr>
        <w:tc>
          <w:tcPr>
            <w:tcW w:type="dxa" w:w="2400"/>
            <w:tcMar>
              <w:top w:type="dxa" w:w="80"/>
              <w:left w:type="dxa" w:w="120"/>
              <w:bottom w:type="dxa" w:w="80"/>
              <w:right w:type="dxa" w:w="120"/>
            </w:tcMar>
            <w:vAlign w:val="center"/>
          </w:tcPr>
          <w:p>
            <w:pPr>
              <w:spacing w:after="0"/>
            </w:pPr>
            <w:r>
              <w:rPr>
                <w:sz w:val="20"/>
                <w:szCs w:val="20"/>
              </w:rPr>
              <w:t xml:space="preserve">Churn-based staleness</w:t>
            </w:r>
          </w:p>
        </w:tc>
        <w:tc>
          <w:tcPr>
            <w:tcW w:type="dxa" w:w="3500"/>
            <w:tcMar>
              <w:top w:type="dxa" w:w="80"/>
              <w:left w:type="dxa" w:w="120"/>
              <w:bottom w:type="dxa" w:w="80"/>
              <w:right w:type="dxa" w:w="120"/>
            </w:tcMar>
            <w:vAlign w:val="center"/>
          </w:tcPr>
          <w:p>
            <w:pPr>
              <w:spacing w:after="0"/>
            </w:pPr>
            <w:r>
              <w:rPr>
                <w:sz w:val="20"/>
                <w:szCs w:val="20"/>
              </w:rPr>
              <w:t xml:space="preserve">Calendar review SLAs are gamed by bumping a date, and mark a doc fresh even when the code it describes changed twice</w:t>
            </w:r>
          </w:p>
        </w:tc>
        <w:tc>
          <w:tcPr>
            <w:tcW w:type="dxa" w:w="3450"/>
            <w:tcMar>
              <w:top w:type="dxa" w:w="80"/>
              <w:left w:type="dxa" w:w="120"/>
              <w:bottom w:type="dxa" w:w="80"/>
              <w:right w:type="dxa" w:w="120"/>
            </w:tcMar>
            <w:vAlign w:val="center"/>
          </w:tcPr>
          <w:p>
            <w:pPr>
              <w:spacing w:after="0"/>
            </w:pPr>
            <w:r>
              <w:rPr>
                <w:sz w:val="20"/>
                <w:szCs w:val="20"/>
              </w:rPr>
              <w:t xml:space="preserve">A new tracks: field ties each doc to code paths; staleness is detected from commit history, with the calendar SLA as a floor</w:t>
            </w:r>
          </w:p>
        </w:tc>
      </w:tr>
      <w:tr>
        <w:tc>
          <w:tcPr>
            <w:tcW w:type="dxa" w:w="2400"/>
            <w:shd w:fill="FAFAFA" w:val="clear"/>
            <w:tcMar>
              <w:top w:type="dxa" w:w="80"/>
              <w:left w:type="dxa" w:w="120"/>
              <w:bottom w:type="dxa" w:w="80"/>
              <w:right w:type="dxa" w:w="120"/>
            </w:tcMar>
            <w:vAlign w:val="center"/>
          </w:tcPr>
          <w:p>
            <w:pPr>
              <w:spacing w:after="0"/>
            </w:pPr>
            <w:r>
              <w:rPr>
                <w:sz w:val="20"/>
                <w:szCs w:val="20"/>
              </w:rPr>
              <w:t xml:space="preserve">Measurement</w:t>
            </w:r>
          </w:p>
        </w:tc>
        <w:tc>
          <w:tcPr>
            <w:tcW w:type="dxa" w:w="3500"/>
            <w:shd w:fill="FAFAFA" w:val="clear"/>
            <w:tcMar>
              <w:top w:type="dxa" w:w="80"/>
              <w:left w:type="dxa" w:w="120"/>
              <w:bottom w:type="dxa" w:w="80"/>
              <w:right w:type="dxa" w:w="120"/>
            </w:tcMar>
            <w:vAlign w:val="center"/>
          </w:tcPr>
          <w:p>
            <w:pPr>
              <w:spacing w:after="0"/>
            </w:pPr>
            <w:r>
              <w:rPr>
                <w:sz w:val="20"/>
                <w:szCs w:val="20"/>
              </w:rPr>
              <w:t xml:space="preserve">No feedback loop — the core claim that grounding improves agent output was never tested</w:t>
            </w:r>
          </w:p>
        </w:tc>
        <w:tc>
          <w:tcPr>
            <w:tcW w:type="dxa" w:w="3450"/>
            <w:shd w:fill="FAFAFA" w:val="clear"/>
            <w:tcMar>
              <w:top w:type="dxa" w:w="80"/>
              <w:left w:type="dxa" w:w="120"/>
              <w:bottom w:type="dxa" w:w="80"/>
              <w:right w:type="dxa" w:w="120"/>
            </w:tcMar>
            <w:vAlign w:val="center"/>
          </w:tcPr>
          <w:p>
            <w:pPr>
              <w:spacing w:after="0"/>
            </w:pPr>
            <w:r>
              <w:rPr>
                <w:sz w:val="20"/>
                <w:szCs w:val="20"/>
              </w:rPr>
              <w:t xml:space="preserve">An eval defined before the pilot, with five metrics including authoring cost; scale-out becomes an evidence-backed decision</w:t>
            </w:r>
          </w:p>
        </w:tc>
      </w:tr>
      <w:tr>
        <w:tc>
          <w:tcPr>
            <w:tcW w:type="dxa" w:w="2400"/>
            <w:tcMar>
              <w:top w:type="dxa" w:w="80"/>
              <w:left w:type="dxa" w:w="120"/>
              <w:bottom w:type="dxa" w:w="80"/>
              <w:right w:type="dxa" w:w="120"/>
            </w:tcMar>
            <w:vAlign w:val="center"/>
          </w:tcPr>
          <w:p>
            <w:pPr>
              <w:spacing w:after="0"/>
            </w:pPr>
            <w:r>
              <w:rPr>
                <w:sz w:val="20"/>
                <w:szCs w:val="20"/>
              </w:rPr>
              <w:t xml:space="preserve">Up-front decisions</w:t>
            </w:r>
          </w:p>
        </w:tc>
        <w:tc>
          <w:tcPr>
            <w:tcW w:type="dxa" w:w="3500"/>
            <w:tcMar>
              <w:top w:type="dxa" w:w="80"/>
              <w:left w:type="dxa" w:w="120"/>
              <w:bottom w:type="dxa" w:w="80"/>
              <w:right w:type="dxa" w:w="120"/>
            </w:tcMar>
            <w:vAlign w:val="center"/>
          </w:tcPr>
          <w:p>
            <w:pPr>
              <w:spacing w:after="0"/>
            </w:pPr>
            <w:r>
              <w:rPr>
                <w:sz w:val="20"/>
                <w:szCs w:val="20"/>
              </w:rPr>
              <w:t xml:space="preserve">ID namespacing, security posture, and conflict arbitration were deferred as open questions</w:t>
            </w:r>
          </w:p>
        </w:tc>
        <w:tc>
          <w:tcPr>
            <w:tcW w:type="dxa" w:w="3450"/>
            <w:tcMar>
              <w:top w:type="dxa" w:w="80"/>
              <w:left w:type="dxa" w:w="120"/>
              <w:bottom w:type="dxa" w:w="80"/>
              <w:right w:type="dxa" w:w="120"/>
            </w:tcMar>
            <w:vAlign w:val="center"/>
          </w:tcPr>
          <w:p>
            <w:pPr>
              <w:spacing w:after="0"/>
            </w:pPr>
            <w:r>
              <w:rPr>
                <w:sz w:val="20"/>
                <w:szCs w:val="20"/>
              </w:rPr>
              <w:t xml:space="preserve">All three decided in a new Phase 0, because each is irreversible, a sponsor blocker, or a week-two deadlock. Later reviews added agent write-back, contradiction precedence, context-budget limits, coverage and precision metrics, cold-start mitigation, and Section 12 (Operating Model): waivers, standard versioning, approver SLAs, audit evidence, and exit criteria</w:t>
            </w:r>
          </w:p>
        </w:tc>
      </w:tr>
    </w:tbl>
    <w:p>
      <w:pPr>
        <w:spacing w:after="120"/>
      </w:pPr>
    </w:p>
    <w:p>
      <w:pPr>
        <w:spacing w:after="160" w:line="276"/>
      </w:pPr>
      <w:r>
        <w:t xml:space="preserve">Three domains were also added: integrations, glossary, and decisions (ADRs).</w:t>
      </w:r>
    </w:p>
    <w:p>
      <w:r>
        <w:br w:type="page"/>
      </w:r>
    </w:p>
    <w:p>
      <w:pPr>
        <w:pStyle w:val="Heading1"/>
        <w:spacing w:after="200" w:before="400"/>
      </w:pPr>
      <w:r>
        <w:t xml:space="preserve">3. Why This Matters, By Role</w:t>
      </w:r>
    </w:p>
    <w:p>
      <w:pPr>
        <w:spacing w:after="160" w:line="276"/>
      </w:pPr>
      <w:r>
        <w:t xml:space="preserve">The AKL is deliberately cross-functional. Below is what it changes for each team.</w:t>
      </w:r>
    </w:p>
    <w:p>
      <w:pPr>
        <w:pStyle w:val="Heading2"/>
        <w:spacing w:after="150" w:before="300"/>
      </w:pPr>
      <w:r>
        <w:t xml:space="preserve">3.1 Technical Management</w:t>
      </w:r>
    </w:p>
    <w:p>
      <w:pPr>
        <w:pStyle w:val="ListParagraph"/>
        <w:numPr>
          <w:ilvl w:val="0"/>
          <w:numId w:val="1"/>
        </w:numPr>
        <w:spacing w:after="80" w:line="276"/>
      </w:pPr>
      <w:r>
        <w:t xml:space="preserve">An auditable artifact for AI governance — an enforced repository structure with CI validation, not a policy statement.</w:t>
      </w:r>
    </w:p>
    <w:p>
      <w:pPr>
        <w:pStyle w:val="ListParagraph"/>
        <w:numPr>
          <w:ilvl w:val="0"/>
          <w:numId w:val="1"/>
        </w:numPr>
        <w:spacing w:after="80" w:line="276"/>
      </w:pPr>
      <w:r>
        <w:t xml:space="preserve">Reduces onboarding time for new hires and vendors — one governed reference instead of scattered institutional knowledge.</w:t>
      </w:r>
    </w:p>
    <w:p>
      <w:pPr>
        <w:pStyle w:val="ListParagraph"/>
        <w:numPr>
          <w:ilvl w:val="0"/>
          <w:numId w:val="1"/>
        </w:numPr>
        <w:spacing w:after="80" w:line="276"/>
      </w:pPr>
      <w:r>
        <w:t xml:space="preserve">Standing visibility into knowledge health via churn-based staleness signals, rather than periodic audit projects.</w:t>
      </w:r>
    </w:p>
    <w:p>
      <w:pPr>
        <w:pStyle w:val="ListParagraph"/>
        <w:numPr>
          <w:ilvl w:val="0"/>
          <w:numId w:val="1"/>
        </w:numPr>
        <w:spacing w:after="80" w:line="276"/>
      </w:pPr>
      <w:r>
        <w:t xml:space="preserve">Confidence to scale AI-assisted development further without a proportional increase in oversight risk.</w:t>
      </w:r>
    </w:p>
    <w:p>
      <w:pPr>
        <w:pStyle w:val="Heading2"/>
        <w:spacing w:after="150" w:before="300"/>
      </w:pPr>
      <w:r>
        <w:t xml:space="preserve">3.2 Business Analysts</w:t>
      </w:r>
    </w:p>
    <w:p>
      <w:pPr>
        <w:pStyle w:val="ListParagraph"/>
        <w:numPr>
          <w:ilvl w:val="0"/>
          <w:numId w:val="1"/>
        </w:numPr>
        <w:spacing w:after="80" w:line="276"/>
      </w:pPr>
      <w:r>
        <w:t xml:space="preserve">Business rules and workflows are captured once, in a durable, structured format — not re-explained in every refinement session.</w:t>
      </w:r>
    </w:p>
    <w:p>
      <w:pPr>
        <w:pStyle w:val="ListParagraph"/>
        <w:numPr>
          <w:ilvl w:val="0"/>
          <w:numId w:val="1"/>
        </w:numPr>
        <w:spacing w:after="80" w:line="276"/>
      </w:pPr>
      <w:r>
        <w:t xml:space="preserve">BA-authored rules become directly enforceable: the same text developers and Copilot read while building, closing the gap between specified and shipped behavior.</w:t>
      </w:r>
    </w:p>
    <w:p>
      <w:pPr>
        <w:pStyle w:val="ListParagraph"/>
        <w:numPr>
          <w:ilvl w:val="0"/>
          <w:numId w:val="1"/>
        </w:numPr>
        <w:spacing w:after="80" w:line="276"/>
      </w:pPr>
      <w:r>
        <w:t xml:space="preserve">Federated ownership means BAs own business-rules and workflows outright, without needing to review every development PR.</w:t>
      </w:r>
    </w:p>
    <w:p>
      <w:pPr>
        <w:pStyle w:val="ListParagraph"/>
        <w:numPr>
          <w:ilvl w:val="0"/>
          <w:numId w:val="1"/>
        </w:numPr>
        <w:spacing w:after="80" w:line="276"/>
      </w:pPr>
      <w:r>
        <w:t xml:space="preserve">BAs arbitrate validation-rule disputes (Section 6.2), because those disagreements are nearly always about intended behavior rather than implementation.</w:t>
      </w:r>
    </w:p>
    <w:p>
      <w:pPr>
        <w:pStyle w:val="Heading2"/>
        <w:spacing w:after="150" w:before="300"/>
      </w:pPr>
      <w:r>
        <w:t xml:space="preserve">3.3 Developers</w:t>
      </w:r>
    </w:p>
    <w:p>
      <w:pPr>
        <w:pStyle w:val="ListParagraph"/>
        <w:numPr>
          <w:ilvl w:val="0"/>
          <w:numId w:val="1"/>
        </w:numPr>
        <w:spacing w:after="80" w:line="276"/>
      </w:pPr>
      <w:r>
        <w:t xml:space="preserve">Copilot surfaces the relevant business rule, schema, and contract for the file being edited — no manual searching.</w:t>
      </w:r>
    </w:p>
    <w:p>
      <w:pPr>
        <w:pStyle w:val="ListParagraph"/>
        <w:numPr>
          <w:ilvl w:val="0"/>
          <w:numId w:val="1"/>
        </w:numPr>
        <w:spacing w:after="80" w:line="276"/>
      </w:pPr>
      <w:r>
        <w:t xml:space="preserve">Schema and API contract docs are generated from code, so they cannot drift and require no manual upkeep beyond stating intent.</w:t>
      </w:r>
    </w:p>
    <w:p>
      <w:pPr>
        <w:pStyle w:val="ListParagraph"/>
        <w:numPr>
          <w:ilvl w:val="0"/>
          <w:numId w:val="1"/>
        </w:numPr>
        <w:spacing w:after="80" w:line="276"/>
      </w:pPr>
      <w:r>
        <w:t xml:space="preserve">Skills can read schema, contract, validation, and non-functional constraints in dependency order before generating code, surfacing contradictions up front.</w:t>
      </w:r>
    </w:p>
    <w:p>
      <w:pPr>
        <w:pStyle w:val="ListParagraph"/>
        <w:numPr>
          <w:ilvl w:val="0"/>
          <w:numId w:val="1"/>
        </w:numPr>
        <w:spacing w:after="80" w:line="276"/>
      </w:pPr>
      <w:r>
        <w:t xml:space="preserve">Reduces rework caused by building against an assumption that was never actually true.</w:t>
      </w:r>
    </w:p>
    <w:p>
      <w:pPr>
        <w:pStyle w:val="Heading2"/>
        <w:spacing w:after="150" w:before="300"/>
      </w:pPr>
      <w:r>
        <w:t xml:space="preserve">3.4 QA (Manual / Functional)</w:t>
      </w:r>
    </w:p>
    <w:p>
      <w:pPr>
        <w:pStyle w:val="ListParagraph"/>
        <w:numPr>
          <w:ilvl w:val="0"/>
          <w:numId w:val="1"/>
        </w:numPr>
        <w:spacing w:after="80" w:line="276"/>
      </w:pPr>
      <w:r>
        <w:t xml:space="preserve">Validation rules are explicit and co-owned with development — no more inferring expected behavior from the UI alone.</w:t>
      </w:r>
    </w:p>
    <w:p>
      <w:pPr>
        <w:pStyle w:val="ListParagraph"/>
        <w:numPr>
          <w:ilvl w:val="0"/>
          <w:numId w:val="1"/>
        </w:numPr>
        <w:spacing w:after="80" w:line="276"/>
      </w:pPr>
      <w:r>
        <w:t xml:space="preserve">Test design traces directly to a governed rule ID, making coverage gaps visible and defensible.</w:t>
      </w:r>
    </w:p>
    <w:p>
      <w:pPr>
        <w:pStyle w:val="ListParagraph"/>
        <w:numPr>
          <w:ilvl w:val="0"/>
          <w:numId w:val="1"/>
        </w:numPr>
        <w:spacing w:after="80" w:line="276"/>
      </w:pPr>
      <w:r>
        <w:t xml:space="preserve">Reduces round-trips with BA and development to confirm whether observed behavior is a defect or intended.</w:t>
      </w:r>
    </w:p>
    <w:p>
      <w:pPr>
        <w:pStyle w:val="Heading2"/>
        <w:spacing w:after="150" w:before="300"/>
      </w:pPr>
      <w:r>
        <w:t xml:space="preserve">3.5 QA Automation</w:t>
      </w:r>
    </w:p>
    <w:p>
      <w:pPr>
        <w:pStyle w:val="ListParagraph"/>
        <w:numPr>
          <w:ilvl w:val="0"/>
          <w:numId w:val="1"/>
        </w:numPr>
        <w:spacing w:after="80" w:line="276"/>
      </w:pPr>
      <w:r>
        <w:t xml:space="preserve">Automation and AI-assisted test generation read structured validation rules and API contracts directly, rather than inferring behavior from the running application.</w:t>
      </w:r>
    </w:p>
    <w:p>
      <w:pPr>
        <w:pStyle w:val="ListParagraph"/>
        <w:numPr>
          <w:ilvl w:val="0"/>
          <w:numId w:val="1"/>
        </w:numPr>
        <w:spacing w:after="80" w:line="276"/>
      </w:pPr>
      <w:r>
        <w:t xml:space="preserve">Provides the grounding source for self-healing and self-generating test agents already on the automation roadmap.</w:t>
      </w:r>
    </w:p>
    <w:p>
      <w:pPr>
        <w:pStyle w:val="ListParagraph"/>
        <w:numPr>
          <w:ilvl w:val="0"/>
          <w:numId w:val="1"/>
        </w:numPr>
        <w:spacing w:after="80" w:line="276"/>
      </w:pPr>
      <w:r>
        <w:t xml:space="preserve">Reduces flaky, assumption-based tests that break whenever a rule changes without the tests being updated.</w:t>
      </w:r>
    </w:p>
    <w:p>
      <w:pPr>
        <w:pStyle w:val="Heading2"/>
        <w:spacing w:after="150" w:before="300"/>
      </w:pPr>
      <w:r>
        <w:t xml:space="preserve">3.6 Architecture</w:t>
      </w:r>
    </w:p>
    <w:p>
      <w:pPr>
        <w:pStyle w:val="ListParagraph"/>
        <w:numPr>
          <w:ilvl w:val="0"/>
          <w:numId w:val="1"/>
        </w:numPr>
        <w:spacing w:after="80" w:line="276"/>
      </w:pPr>
      <w:r>
        <w:t xml:space="preserve">Non-functional requirements — performance budgets, security requirements, accessibility standards, scalability expectations — become first-class governed facts rather than tribal knowledge.</w:t>
      </w:r>
    </w:p>
    <w:p>
      <w:pPr>
        <w:pStyle w:val="ListParagraph"/>
        <w:numPr>
          <w:ilvl w:val="0"/>
          <w:numId w:val="1"/>
        </w:numPr>
        <w:spacing w:after="80" w:line="276"/>
      </w:pPr>
      <w:r>
        <w:t xml:space="preserve">Architectural decisions (ADRs) link to the rules and contracts they constrain, so agents and developers see the rationale and do not undo deliberate choices.</w:t>
      </w:r>
    </w:p>
    <w:p>
      <w:pPr>
        <w:pStyle w:val="ListParagraph"/>
        <w:numPr>
          <w:ilvl w:val="0"/>
          <w:numId w:val="1"/>
        </w:numPr>
        <w:spacing w:after="80" w:line="276"/>
      </w:pPr>
      <w:r>
        <w:t xml:space="preserve">Owns the domains that cut across every team, with Technical Management accountable.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4. Core Architectural Principle: Derived vs. Authored</w:t>
      </w:r>
    </w:p>
    <w:p>
      <w:pPr>
        <w:spacing w:after="160" w:line="276"/>
      </w:pPr>
      <w:r>
        <w:rPr>
          <w:b/>
          <w:bCs/>
          <w:color w:val="1F3864"/>
        </w:rPr>
        <w:t xml:space="preserve">This is the most important decision in the design: </w:t>
      </w:r>
      <w:r>
        <w:t xml:space="preserve">Version 1.0 treated all domains as hand-authored Markdown. But DB schema and API contracts already exist in machine-readable form — migrations, ORM models, OpenAPI specs. Hand-writing them into Markdown creates a second source of truth that drifts silently, because nothing fails when the doc is wrong.</w:t>
      </w:r>
    </w:p>
    <w:p>
      <w:pPr>
        <w:spacing w:after="160" w:line="276"/>
      </w:pPr>
      <w:r>
        <w:t xml:space="preserve">Every domain is therefore classified by how its content is produced: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2400"/>
        <w:gridCol w:w="2550"/>
      </w:tblGrid>
      <w:tr>
        <w:trPr>
          <w:tblHeader/>
        </w:trPr>
        <w:tc>
          <w:tcPr>
            <w:tcW w:type="dxa" w:w="1300"/>
            <w:shd w:fill="1F3864" w:val="clear"/>
            <w:tcMar>
              <w:top w:type="dxa" w:w="80"/>
              <w:left w:type="dxa" w:w="120"/>
              <w:bottom w:type="dxa" w:w="80"/>
              <w:right w:type="dxa" w:w="120"/>
            </w:tcMar>
            <w:vAlign w:val="center"/>
          </w:tcPr>
          <w:p>
            <w:pPr>
              <w:spacing w:after="0"/>
            </w:pPr>
            <w:r>
              <w:rPr>
                <w:b/>
                <w:bCs/>
                <w:color w:val="FFFFFF"/>
                <w:sz w:val="20"/>
                <w:szCs w:val="20"/>
              </w:rPr>
              <w:t xml:space="preserve">Type</w:t>
            </w:r>
          </w:p>
        </w:tc>
        <w:tc>
          <w:tcPr>
            <w:tcW w:type="dxa" w:w="3100"/>
            <w:shd w:fill="1F3864" w:val="clear"/>
            <w:tcMar>
              <w:top w:type="dxa" w:w="80"/>
              <w:left w:type="dxa" w:w="120"/>
              <w:bottom w:type="dxa" w:w="80"/>
              <w:right w:type="dxa" w:w="120"/>
            </w:tcMar>
            <w:vAlign w:val="center"/>
          </w:tcPr>
          <w:p>
            <w:pPr>
              <w:spacing w:after="0"/>
            </w:pPr>
            <w:r>
              <w:rPr>
                <w:b/>
                <w:bCs/>
                <w:color w:val="FFFFFF"/>
                <w:sz w:val="20"/>
                <w:szCs w:val="20"/>
              </w:rPr>
              <w:t xml:space="preserve">Domains</w:t>
            </w:r>
          </w:p>
        </w:tc>
        <w:tc>
          <w:tcPr>
            <w:tcW w:type="dxa" w:w="2400"/>
            <w:shd w:fill="1F3864" w:val="clear"/>
            <w:tcMar>
              <w:top w:type="dxa" w:w="80"/>
              <w:left w:type="dxa" w:w="120"/>
              <w:bottom w:type="dxa" w:w="80"/>
              <w:right w:type="dxa" w:w="120"/>
            </w:tcMar>
            <w:vAlign w:val="center"/>
          </w:tcPr>
          <w:p>
            <w:pPr>
              <w:spacing w:after="0"/>
            </w:pPr>
            <w:r>
              <w:rPr>
                <w:b/>
                <w:bCs/>
                <w:color w:val="FFFFFF"/>
                <w:sz w:val="20"/>
                <w:szCs w:val="20"/>
              </w:rPr>
              <w:t xml:space="preserve">Source of truth</w:t>
            </w:r>
          </w:p>
        </w:tc>
        <w:tc>
          <w:tcPr>
            <w:tcW w:type="dxa" w:w="2550"/>
            <w:shd w:fill="1F3864" w:val="clear"/>
            <w:tcMar>
              <w:top w:type="dxa" w:w="80"/>
              <w:left w:type="dxa" w:w="120"/>
              <w:bottom w:type="dxa" w:w="80"/>
              <w:right w:type="dxa" w:w="120"/>
            </w:tcMar>
            <w:vAlign w:val="center"/>
          </w:tcPr>
          <w:p>
            <w:pPr>
              <w:spacing w:after="0"/>
            </w:pPr>
            <w:r>
              <w:rPr>
                <w:b/>
                <w:bCs/>
                <w:color w:val="FFFFFF"/>
                <w:sz w:val="20"/>
                <w:szCs w:val="20"/>
              </w:rPr>
              <w:t xml:space="preserve">How the doc is produced</w:t>
            </w:r>
          </w:p>
        </w:tc>
      </w:tr>
      <w:tr>
        <w:tc>
          <w:tcPr>
            <w:tcW w:type="dxa" w:w="1300"/>
            <w:tcMar>
              <w:top w:type="dxa" w:w="80"/>
              <w:left w:type="dxa" w:w="120"/>
              <w:bottom w:type="dxa" w:w="80"/>
              <w:right w:type="dxa" w:w="120"/>
            </w:tcMar>
            <w:vAlign w:val="center"/>
          </w:tcPr>
          <w:p>
            <w:pPr>
              <w:spacing w:after="0"/>
            </w:pPr>
            <w:r>
              <w:rPr>
                <w:sz w:val="20"/>
                <w:szCs w:val="20"/>
              </w:rPr>
              <w:t xml:space="preserve">Derived</w:t>
            </w:r>
          </w:p>
        </w:tc>
        <w:tc>
          <w:tcPr>
            <w:tcW w:type="dxa" w:w="3100"/>
            <w:tcMar>
              <w:top w:type="dxa" w:w="80"/>
              <w:left w:type="dxa" w:w="120"/>
              <w:bottom w:type="dxa" w:w="80"/>
              <w:right w:type="dxa" w:w="120"/>
            </w:tcMar>
            <w:vAlign w:val="center"/>
          </w:tcPr>
          <w:p>
            <w:pPr>
              <w:spacing w:after="0"/>
            </w:pPr>
            <w:r>
              <w:rPr>
                <w:sz w:val="20"/>
                <w:szCs w:val="20"/>
              </w:rPr>
              <w:t xml:space="preserve">db-schema, api-contracts</w:t>
            </w:r>
          </w:p>
        </w:tc>
        <w:tc>
          <w:tcPr>
            <w:tcW w:type="dxa" w:w="2400"/>
            <w:tcMar>
              <w:top w:type="dxa" w:w="80"/>
              <w:left w:type="dxa" w:w="120"/>
              <w:bottom w:type="dxa" w:w="80"/>
              <w:right w:type="dxa" w:w="120"/>
            </w:tcMar>
            <w:vAlign w:val="center"/>
          </w:tcPr>
          <w:p>
            <w:pPr>
              <w:spacing w:after="0"/>
            </w:pPr>
            <w:r>
              <w:rPr>
                <w:sz w:val="20"/>
                <w:szCs w:val="20"/>
              </w:rPr>
              <w:t xml:space="preserve">Migrations, OpenAPI spec</w:t>
            </w:r>
          </w:p>
        </w:tc>
        <w:tc>
          <w:tcPr>
            <w:tcW w:type="dxa" w:w="2550"/>
            <w:tcMar>
              <w:top w:type="dxa" w:w="80"/>
              <w:left w:type="dxa" w:w="120"/>
              <w:bottom w:type="dxa" w:w="80"/>
              <w:right w:type="dxa" w:w="120"/>
            </w:tcMar>
            <w:vAlign w:val="center"/>
          </w:tcPr>
          <w:p>
            <w:pPr>
              <w:spacing w:after="0"/>
            </w:pPr>
            <w:r>
              <w:rPr>
                <w:sz w:val="20"/>
                <w:szCs w:val="20"/>
              </w:rPr>
              <w:t xml:space="preserve">Generated in CI; humans add only an Intent section explaining why constraints exist</w:t>
            </w:r>
          </w:p>
        </w:tc>
      </w:tr>
      <w:tr>
        <w:tc>
          <w:tcPr>
            <w:tcW w:type="dxa" w:w="1300"/>
            <w:shd w:fill="FAFAFA" w:val="clear"/>
            <w:tcMar>
              <w:top w:type="dxa" w:w="80"/>
              <w:left w:type="dxa" w:w="120"/>
              <w:bottom w:type="dxa" w:w="80"/>
              <w:right w:type="dxa" w:w="120"/>
            </w:tcMar>
            <w:vAlign w:val="center"/>
          </w:tcPr>
          <w:p>
            <w:pPr>
              <w:spacing w:after="0"/>
            </w:pPr>
            <w:r>
              <w:rPr>
                <w:sz w:val="20"/>
                <w:szCs w:val="20"/>
              </w:rPr>
              <w:t xml:space="preserve">Hybrid</w:t>
            </w:r>
          </w:p>
        </w:tc>
        <w:tc>
          <w:tcPr>
            <w:tcW w:type="dxa" w:w="3100"/>
            <w:shd w:fill="FAFAFA" w:val="clear"/>
            <w:tcMar>
              <w:top w:type="dxa" w:w="80"/>
              <w:left w:type="dxa" w:w="120"/>
              <w:bottom w:type="dxa" w:w="80"/>
              <w:right w:type="dxa" w:w="120"/>
            </w:tcMar>
            <w:vAlign w:val="center"/>
          </w:tcPr>
          <w:p>
            <w:pPr>
              <w:spacing w:after="0"/>
            </w:pPr>
            <w:r>
              <w:rPr>
                <w:sz w:val="20"/>
                <w:szCs w:val="20"/>
              </w:rPr>
              <w:t xml:space="preserve">pages, elements, integrations</w:t>
            </w:r>
          </w:p>
        </w:tc>
        <w:tc>
          <w:tcPr>
            <w:tcW w:type="dxa" w:w="2400"/>
            <w:shd w:fill="FAFAFA" w:val="clear"/>
            <w:tcMar>
              <w:top w:type="dxa" w:w="80"/>
              <w:left w:type="dxa" w:w="120"/>
              <w:bottom w:type="dxa" w:w="80"/>
              <w:right w:type="dxa" w:w="120"/>
            </w:tcMar>
            <w:vAlign w:val="center"/>
          </w:tcPr>
          <w:p>
            <w:pPr>
              <w:spacing w:after="0"/>
            </w:pPr>
            <w:r>
              <w:rPr>
                <w:sz w:val="20"/>
                <w:szCs w:val="20"/>
              </w:rPr>
              <w:t xml:space="preserve">Route config, component tree, client definitions</w:t>
            </w:r>
          </w:p>
        </w:tc>
        <w:tc>
          <w:tcPr>
            <w:tcW w:type="dxa" w:w="2550"/>
            <w:shd w:fill="FAFAFA" w:val="clear"/>
            <w:tcMar>
              <w:top w:type="dxa" w:w="80"/>
              <w:left w:type="dxa" w:w="120"/>
              <w:bottom w:type="dxa" w:w="80"/>
              <w:right w:type="dxa" w:w="120"/>
            </w:tcMar>
            <w:vAlign w:val="center"/>
          </w:tcPr>
          <w:p>
            <w:pPr>
              <w:spacing w:after="0"/>
            </w:pPr>
            <w:r>
              <w:rPr>
                <w:sz w:val="20"/>
                <w:szCs w:val="20"/>
              </w:rPr>
              <w:t xml:space="preserve">Inventory generated; behavior contract authored by hand</w:t>
            </w:r>
          </w:p>
        </w:tc>
      </w:tr>
      <w:tr>
        <w:tc>
          <w:tcPr>
            <w:tcW w:type="dxa" w:w="1300"/>
            <w:tcMar>
              <w:top w:type="dxa" w:w="80"/>
              <w:left w:type="dxa" w:w="120"/>
              <w:bottom w:type="dxa" w:w="80"/>
              <w:right w:type="dxa" w:w="120"/>
            </w:tcMar>
            <w:vAlign w:val="center"/>
          </w:tcPr>
          <w:p>
            <w:pPr>
              <w:spacing w:after="0"/>
            </w:pPr>
            <w:r>
              <w:rPr>
                <w:sz w:val="20"/>
                <w:szCs w:val="20"/>
              </w:rPr>
              <w:t xml:space="preserve">Authored</w:t>
            </w:r>
          </w:p>
        </w:tc>
        <w:tc>
          <w:tcPr>
            <w:tcW w:type="dxa" w:w="3100"/>
            <w:tcMar>
              <w:top w:type="dxa" w:w="80"/>
              <w:left w:type="dxa" w:w="120"/>
              <w:bottom w:type="dxa" w:w="80"/>
              <w:right w:type="dxa" w:w="120"/>
            </w:tcMar>
            <w:vAlign w:val="center"/>
          </w:tcPr>
          <w:p>
            <w:pPr>
              <w:spacing w:after="0"/>
            </w:pPr>
            <w:r>
              <w:rPr>
                <w:sz w:val="20"/>
                <w:szCs w:val="20"/>
              </w:rPr>
              <w:t xml:space="preserve">business-rules, workflows, validation-rules, non-functional, glossary, decisions</w:t>
            </w:r>
          </w:p>
        </w:tc>
        <w:tc>
          <w:tcPr>
            <w:tcW w:type="dxa" w:w="2400"/>
            <w:tcMar>
              <w:top w:type="dxa" w:w="80"/>
              <w:left w:type="dxa" w:w="120"/>
              <w:bottom w:type="dxa" w:w="80"/>
              <w:right w:type="dxa" w:w="120"/>
            </w:tcMar>
            <w:vAlign w:val="center"/>
          </w:tcPr>
          <w:p>
            <w:pPr>
              <w:spacing w:after="0"/>
            </w:pPr>
            <w:r>
              <w:rPr>
                <w:sz w:val="20"/>
                <w:szCs w:val="20"/>
              </w:rPr>
              <w:t xml:space="preserve">The AKL document itself</w:t>
            </w:r>
          </w:p>
        </w:tc>
        <w:tc>
          <w:tcPr>
            <w:tcW w:type="dxa" w:w="2550"/>
            <w:tcMar>
              <w:top w:type="dxa" w:w="80"/>
              <w:left w:type="dxa" w:w="120"/>
              <w:bottom w:type="dxa" w:w="80"/>
              <w:right w:type="dxa" w:w="120"/>
            </w:tcMar>
            <w:vAlign w:val="center"/>
          </w:tcPr>
          <w:p>
            <w:pPr>
              <w:spacing w:after="0"/>
            </w:pPr>
            <w:r>
              <w:rPr>
                <w:sz w:val="20"/>
                <w:szCs w:val="20"/>
              </w:rPr>
              <w:t xml:space="preserve">Fully human-authored</w:t>
            </w:r>
          </w:p>
        </w:tc>
      </w:tr>
    </w:tbl>
    <w:p>
      <w:pPr>
        <w:pStyle w:val="Heading2"/>
        <w:spacing w:after="150" w:before="300"/>
      </w:pPr>
      <w:r>
        <w:t xml:space="preserve">4.1 How Generation Works</w:t>
      </w:r>
    </w:p>
    <w:p>
      <w:pPr>
        <w:spacing w:after="160" w:line="276"/>
      </w:pPr>
      <w:r>
        <w:t xml:space="preserve">For derived domains, a CI job regenerates the document body from the source artifact on every merge to the main branch. Human-authored content lives in a protected block the generator never overwrites: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&lt;!-- GENERATED:START — do not edit by hand --&gt;</w:t>
            </w:r>
          </w:p>
          <w:p>
            <w:pPr>
              <w:spacing w:after="0"/>
            </w:pPr>
            <w:r>
              <w:rPr>
                <w:rFonts w:ascii="Consolas" w:cs="Consolas" w:eastAsia="Consolas" w:hAnsi="Consolas"/>
                <w:sz w:val="18"/>
                <w:szCs w:val="18"/>
              </w:rPr>
              <w:t xml:space="preserve">| Column | Type   | Nullable | Constraint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id     | uuid   | no       | PK             |</w:t>
            </w:r>
          </w:p>
          <w:p>
            <w:pPr>
              <w:spacing w:after="0"/>
            </w:pPr>
            <w:r>
              <w:rPr>
                <w:rFonts w:ascii="Consolas" w:cs="Consolas" w:eastAsia="Consolas" w:hAnsi="Consolas"/>
                <w:sz w:val="18"/>
                <w:szCs w:val="18"/>
              </w:rPr>
              <w:t xml:space="preserve">| status | enum   | no       | refund_status  |</w:t>
            </w:r>
          </w:p>
          <w:p>
            <w:pPr>
              <w:spacing w:after="0"/>
            </w:pPr>
            <w:r>
              <w:rPr>
                <w:rFonts w:ascii="Consolas" w:cs="Consolas" w:eastAsia="Consolas" w:hAnsi="Consolas"/>
                <w:sz w:val="18"/>
                <w:szCs w:val="18"/>
              </w:rPr>
              <w:t xml:space="preserve">&lt;!-- GENERATED:END --&gt;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Intent</w:t>
            </w:r>
          </w:p>
          <w:p>
            <w:pPr>
              <w:spacing w:after="0"/>
            </w:pPr>
            <w:r>
              <w:rPr>
                <w:rFonts w:ascii="Consolas" w:cs="Consolas" w:eastAsia="Consolas" w:hAnsi="Consolas"/>
                <w:sz w:val="18"/>
                <w:szCs w:val="18"/>
              </w:rPr>
              <w:t xml:space="preserve">Refund rows are never hard-deleted — see DEC-004. The status enum is</w:t>
            </w:r>
          </w:p>
          <w:p>
            <w:pPr>
              <w:spacing w:after="0"/>
            </w:pPr>
            <w:r>
              <w:rPr>
                <w:rFonts w:ascii="Consolas" w:cs="Consolas" w:eastAsia="Consolas" w:hAnsi="Consolas"/>
                <w:sz w:val="18"/>
                <w:szCs w:val="18"/>
              </w:rPr>
              <w:t xml:space="preserve">deliberately narrow; adding a value requires a business-rule change first.</w:t>
            </w:r>
          </w:p>
        </w:tc>
      </w:tr>
    </w:tbl>
    <w:p>
      <w:pPr>
        <w:spacing w:after="120"/>
      </w:pPr>
    </w:p>
    <w:p>
      <w:pPr>
        <w:spacing w:after="160" w:line="276"/>
      </w:pPr>
      <w:r>
        <w:t xml:space="preserve">A schema change now automatically updates the knowledge layer in the same pull request. No review SLA, no reliance on human memory, no drift. The Intent section — the part that cannot be generated, and the part agents most need — is the only content a human maintains.</w:t>
      </w:r>
    </w:p>
    <w:p>
      <w:pPr>
        <w:spacing w:after="160" w:line="276"/>
      </w:pPr>
      <w:r>
        <w:rPr>
          <w:b/>
          <w:bCs/>
          <w:color w:val="1F3864"/>
        </w:rPr>
        <w:t xml:space="preserve">Trade-off: </w:t>
      </w:r>
      <w:r>
        <w:t xml:space="preserve">Building generators is real upfront work, estimated at one to two weeks for both derived domains. It is the single highest-leverage investment in this design; without it, these two domains decay within a quarter.</w:t>
      </w:r>
    </w:p>
    <w:p>
      <w:r>
        <w:br w:type="page"/>
      </w:r>
    </w:p>
    <w:p>
      <w:pPr>
        <w:pStyle w:val="Heading1"/>
        <w:spacing w:after="200" w:before="400"/>
      </w:pPr>
      <w:r>
        <w:t xml:space="preserve">5. Repository Layout &amp; File Standard</w:t>
      </w:r>
    </w:p>
    <w:p>
      <w:pPr>
        <w:pStyle w:val="Heading2"/>
        <w:spacing w:after="150" w:before="300"/>
      </w:pPr>
      <w:r>
        <w:t xml:space="preserve">5.1 Repository Layout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/knowledge/</w:t>
            </w:r>
          </w:p>
          <w:p>
            <w:pPr>
              <w:spacing w:after="0"/>
            </w:pPr>
            <w:r>
              <w:rPr>
                <w:rFonts w:ascii="Consolas" w:cs="Consolas" w:eastAsia="Consolas" w:hAnsi="Consolas"/>
                <w:sz w:val="18"/>
                <w:szCs w:val="18"/>
              </w:rPr>
              <w:t xml:space="preserve">  # ---- authored ----</w:t>
            </w:r>
          </w:p>
          <w:p>
            <w:pPr>
              <w:spacing w:after="0"/>
            </w:pPr>
            <w:r>
              <w:rPr>
                <w:rFonts w:ascii="Consolas" w:cs="Consolas" w:eastAsia="Consolas" w:hAnsi="Consolas"/>
                <w:sz w:val="18"/>
                <w:szCs w:val="18"/>
              </w:rPr>
              <w:t xml:space="preserve">  /business-rules/</w:t>
            </w:r>
          </w:p>
          <w:p>
            <w:pPr>
              <w:spacing w:after="0"/>
            </w:pPr>
            <w:r>
              <w:rPr>
                <w:rFonts w:ascii="Consolas" w:cs="Consolas" w:eastAsia="Consolas" w:hAnsi="Consolas"/>
                <w:sz w:val="18"/>
                <w:szCs w:val="18"/>
              </w:rPr>
              <w:t xml:space="preserve">  /workflows/</w:t>
            </w:r>
          </w:p>
          <w:p>
            <w:pPr>
              <w:spacing w:after="0"/>
            </w:pPr>
            <w:r>
              <w:rPr>
                <w:rFonts w:ascii="Consolas" w:cs="Consolas" w:eastAsia="Consolas" w:hAnsi="Consolas"/>
                <w:sz w:val="18"/>
                <w:szCs w:val="18"/>
              </w:rPr>
              <w:t xml:space="preserve">  /validation-rules/</w:t>
            </w:r>
          </w:p>
          <w:p>
            <w:pPr>
              <w:spacing w:after="0"/>
            </w:pPr>
            <w:r>
              <w:rPr>
                <w:rFonts w:ascii="Consolas" w:cs="Consolas" w:eastAsia="Consolas" w:hAnsi="Consolas"/>
                <w:sz w:val="18"/>
                <w:szCs w:val="18"/>
              </w:rPr>
              <w:t xml:space="preserve">  /non-functional/          # NEW — perf, security, a11y, scalability</w:t>
            </w:r>
          </w:p>
          <w:p>
            <w:pPr>
              <w:spacing w:after="0"/>
            </w:pPr>
            <w:r>
              <w:rPr>
                <w:rFonts w:ascii="Consolas" w:cs="Consolas" w:eastAsia="Consolas" w:hAnsi="Consolas"/>
                <w:sz w:val="18"/>
                <w:szCs w:val="18"/>
              </w:rPr>
              <w:t xml:space="preserve">  /glossary/                # NEW — ubiquitous domain language</w:t>
            </w:r>
          </w:p>
          <w:p>
            <w:pPr>
              <w:spacing w:after="0"/>
            </w:pPr>
            <w:r>
              <w:rPr>
                <w:rFonts w:ascii="Consolas" w:cs="Consolas" w:eastAsia="Consolas" w:hAnsi="Consolas"/>
                <w:sz w:val="18"/>
                <w:szCs w:val="18"/>
              </w:rPr>
              <w:t xml:space="preserve">  /decisions/               # NEW — ADRs, linked to affected rules</w:t>
            </w:r>
          </w:p>
          <w:p>
            <w:pPr>
              <w:spacing w:after="0"/>
            </w:pPr>
            <w:r>
              <w:rPr>
                <w:rFonts w:ascii="Consolas" w:cs="Consolas" w:eastAsia="Consolas" w:hAnsi="Consolas"/>
                <w:sz w:val="18"/>
                <w:szCs w:val="18"/>
              </w:rPr>
              <w:t xml:space="preserve">  # ---- hybrid ----</w:t>
            </w:r>
          </w:p>
          <w:p>
            <w:pPr>
              <w:spacing w:after="0"/>
            </w:pPr>
            <w:r>
              <w:rPr>
                <w:rFonts w:ascii="Consolas" w:cs="Consolas" w:eastAsia="Consolas" w:hAnsi="Consolas"/>
                <w:sz w:val="18"/>
                <w:szCs w:val="18"/>
              </w:rPr>
              <w:t xml:space="preserve">  /pages/</w:t>
            </w:r>
          </w:p>
          <w:p>
            <w:pPr>
              <w:spacing w:after="0"/>
            </w:pPr>
            <w:r>
              <w:rPr>
                <w:rFonts w:ascii="Consolas" w:cs="Consolas" w:eastAsia="Consolas" w:hAnsi="Consolas"/>
                <w:sz w:val="18"/>
                <w:szCs w:val="18"/>
              </w:rPr>
              <w:t xml:space="preserve">  /elements/</w:t>
            </w:r>
          </w:p>
          <w:p>
            <w:pPr>
              <w:spacing w:after="0"/>
            </w:pPr>
            <w:r>
              <w:rPr>
                <w:rFonts w:ascii="Consolas" w:cs="Consolas" w:eastAsia="Consolas" w:hAnsi="Consolas"/>
                <w:sz w:val="18"/>
                <w:szCs w:val="18"/>
              </w:rPr>
              <w:t xml:space="preserve">  /integrations/            # NEW — third-party APIs, failure modes</w:t>
            </w:r>
          </w:p>
          <w:p>
            <w:pPr>
              <w:spacing w:after="0"/>
            </w:pPr>
            <w:r>
              <w:rPr>
                <w:rFonts w:ascii="Consolas" w:cs="Consolas" w:eastAsia="Consolas" w:hAnsi="Consolas"/>
                <w:sz w:val="18"/>
                <w:szCs w:val="18"/>
              </w:rPr>
              <w:t xml:space="preserve">  # ---- derived (generated) ----</w:t>
            </w:r>
          </w:p>
          <w:p>
            <w:pPr>
              <w:spacing w:after="0"/>
            </w:pPr>
            <w:r>
              <w:rPr>
                <w:rFonts w:ascii="Consolas" w:cs="Consolas" w:eastAsia="Consolas" w:hAnsi="Consolas"/>
                <w:sz w:val="18"/>
                <w:szCs w:val="18"/>
              </w:rPr>
              <w:t xml:space="preserve">  /db-schema/</w:t>
            </w:r>
          </w:p>
          <w:p>
            <w:pPr>
              <w:spacing w:after="0"/>
            </w:pPr>
            <w:r>
              <w:rPr>
                <w:rFonts w:ascii="Consolas" w:cs="Consolas" w:eastAsia="Consolas" w:hAnsi="Consolas"/>
                <w:sz w:val="18"/>
                <w:szCs w:val="18"/>
              </w:rPr>
              <w:t xml:space="preserve">  /api-contracts/</w:t>
            </w:r>
          </w:p>
          <w:p>
            <w:pPr>
              <w:spacing w:after="0"/>
            </w:pPr>
            <w:r>
              <w:rPr>
                <w:rFonts w:ascii="Consolas" w:cs="Consolas" w:eastAsia="Consolas" w:hAnsi="Consolas"/>
                <w:sz w:val="18"/>
                <w:szCs w:val="18"/>
              </w:rPr>
              <w:t xml:space="preserve">  # ---- governance ----</w:t>
            </w:r>
          </w:p>
          <w:p>
            <w:pPr>
              <w:spacing w:after="0"/>
            </w:pPr>
            <w:r>
              <w:rPr>
                <w:rFonts w:ascii="Consolas" w:cs="Consolas" w:eastAsia="Consolas" w:hAnsi="Consolas"/>
                <w:sz w:val="18"/>
                <w:szCs w:val="18"/>
              </w:rPr>
              <w:t xml:space="preserve">  /_governance/</w:t>
            </w:r>
          </w:p>
          <w:p>
            <w:pPr>
              <w:spacing w:after="0"/>
            </w:pPr>
            <w:r>
              <w:rPr>
                <w:rFonts w:ascii="Consolas" w:cs="Consolas" w:eastAsia="Consolas" w:hAnsi="Consolas"/>
                <w:sz w:val="18"/>
                <w:szCs w:val="18"/>
              </w:rPr>
              <w:t xml:space="preserve">    OWNERS.md               # domain -&gt; team, fallback, AKL Steward</w:t>
            </w:r>
          </w:p>
          <w:p>
            <w:pPr>
              <w:spacing w:after="0"/>
            </w:pPr>
            <w:r>
              <w:rPr>
                <w:rFonts w:ascii="Consolas" w:cs="Consolas" w:eastAsia="Consolas" w:hAnsi="Consolas"/>
                <w:sz w:val="18"/>
                <w:szCs w:val="18"/>
              </w:rPr>
              <w:t xml:space="preserve">    CONTRIBUTING.md</w:t>
            </w:r>
          </w:p>
          <w:p>
            <w:pPr>
              <w:spacing w:after="0"/>
            </w:pPr>
            <w:r>
              <w:rPr>
                <w:rFonts w:ascii="Consolas" w:cs="Consolas" w:eastAsia="Consolas" w:hAnsi="Consolas"/>
                <w:sz w:val="18"/>
                <w:szCs w:val="18"/>
              </w:rPr>
              <w:t xml:space="preserve">    SECURITY.md             # exclusions + classification mapping</w:t>
            </w:r>
          </w:p>
          <w:p>
            <w:pPr>
              <w:spacing w:after="0"/>
            </w:pPr>
            <w:r>
              <w:rPr>
                <w:rFonts w:ascii="Consolas" w:cs="Consolas" w:eastAsia="Consolas" w:hAnsi="Consolas"/>
                <w:sz w:val="18"/>
                <w:szCs w:val="18"/>
              </w:rPr>
              <w:t xml:space="preserve">    WAIVERS.md              # time-boxed exceptions (Section 12.2)</w:t>
            </w:r>
          </w:p>
          <w:p>
            <w:pPr>
              <w:spacing w:after="0"/>
            </w:pPr>
            <w:r>
              <w:rPr>
                <w:rFonts w:ascii="Consolas" w:cs="Consolas" w:eastAsia="Consolas" w:hAnsi="Consolas"/>
                <w:sz w:val="18"/>
                <w:szCs w:val="18"/>
              </w:rPr>
              <w:t xml:space="preserve">    VERSION                 # semver of the standard (Section 12.3)</w:t>
            </w:r>
          </w:p>
          <w:p>
            <w:pPr>
              <w:spacing w:after="0"/>
            </w:pPr>
            <w:r>
              <w:rPr>
                <w:rFonts w:ascii="Consolas" w:cs="Consolas" w:eastAsia="Consolas" w:hAnsi="Consolas"/>
                <w:sz w:val="18"/>
                <w:szCs w:val="18"/>
              </w:rPr>
              <w:t xml:space="preserve">    schema-templates/       # one worked example per domain</w:t>
            </w:r>
          </w:p>
          <w:p>
            <w:pPr>
              <w:spacing w:after="0"/>
            </w:pPr>
            <w:r>
              <w:rPr>
                <w:rFonts w:ascii="Consolas" w:cs="Consolas" w:eastAsia="Consolas" w:hAnsi="Consolas"/>
                <w:sz w:val="18"/>
                <w:szCs w:val="18"/>
              </w:rPr>
              <w:t xml:space="preserve">    review-cadence.md</w:t>
            </w:r>
          </w:p>
          <w:p>
            <w:pPr>
              <w:spacing w:after="0"/>
            </w:pPr>
            <w:r>
              <w:rPr>
                <w:rFonts w:ascii="Consolas" w:cs="Consolas" w:eastAsia="Consolas" w:hAnsi="Consolas"/>
                <w:sz w:val="18"/>
                <w:szCs w:val="18"/>
              </w:rPr>
              <w:t xml:space="preserve">    definition-of-done.md   # what "approved" means</w:t>
            </w:r>
          </w:p>
          <w:p>
            <w:pPr>
              <w:spacing w:after="0"/>
            </w:pPr>
            <w:r>
              <w:rPr>
                <w:rFonts w:ascii="Consolas" w:cs="Consolas" w:eastAsia="Consolas" w:hAnsi="Consolas"/>
                <w:sz w:val="18"/>
                <w:szCs w:val="18"/>
              </w:rPr>
              <w:t xml:space="preserve">/.github/</w:t>
            </w:r>
          </w:p>
          <w:p>
            <w:pPr>
              <w:spacing w:after="0"/>
            </w:pPr>
            <w:r>
              <w:rPr>
                <w:rFonts w:ascii="Consolas" w:cs="Consolas" w:eastAsia="Consolas" w:hAnsi="Consolas"/>
                <w:sz w:val="18"/>
                <w:szCs w:val="18"/>
              </w:rPr>
              <w:t xml:space="preserve">  CODEOWNERS</w:t>
            </w:r>
          </w:p>
          <w:p>
            <w:pPr>
              <w:spacing w:after="0"/>
            </w:pPr>
            <w:r>
              <w:rPr>
                <w:rFonts w:ascii="Consolas" w:cs="Consolas" w:eastAsia="Consolas" w:hAnsi="Consolas"/>
                <w:sz w:val="18"/>
                <w:szCs w:val="18"/>
              </w:rPr>
              <w:t xml:space="preserve">  /workflows/</w:t>
            </w:r>
          </w:p>
          <w:p>
            <w:pPr>
              <w:spacing w:after="0"/>
            </w:pPr>
            <w:r>
              <w:rPr>
                <w:rFonts w:ascii="Consolas" w:cs="Consolas" w:eastAsia="Consolas" w:hAnsi="Consolas"/>
                <w:sz w:val="18"/>
                <w:szCs w:val="18"/>
              </w:rPr>
              <w:t xml:space="preserve">    akl-validate.yml        # NEW — frontmatter, links, IDs, drafts</w:t>
            </w:r>
          </w:p>
          <w:p>
            <w:pPr>
              <w:spacing w:after="0"/>
            </w:pPr>
            <w:r>
              <w:rPr>
                <w:rFonts w:ascii="Consolas" w:cs="Consolas" w:eastAsia="Consolas" w:hAnsi="Consolas"/>
                <w:sz w:val="18"/>
                <w:szCs w:val="18"/>
              </w:rPr>
              <w:t xml:space="preserve">    akl-generate.yml        # NEW — regenerates derived domains</w:t>
            </w:r>
          </w:p>
          <w:p>
            <w:pPr>
              <w:spacing w:after="0"/>
            </w:pPr>
            <w:r>
              <w:rPr>
                <w:rFonts w:ascii="Consolas" w:cs="Consolas" w:eastAsia="Consolas" w:hAnsi="Consolas"/>
                <w:sz w:val="18"/>
                <w:szCs w:val="18"/>
              </w:rPr>
              <w:t xml:space="preserve">    akl-staleness.yml       # NEW — churn-based drift detection</w:t>
            </w:r>
          </w:p>
          <w:p>
            <w:pPr>
              <w:spacing w:after="0"/>
            </w:pPr>
            <w:r>
              <w:rPr>
                <w:rFonts w:ascii="Consolas" w:cs="Consolas" w:eastAsia="Consolas" w:hAnsi="Consolas"/>
                <w:sz w:val="18"/>
                <w:szCs w:val="18"/>
              </w:rPr>
              <w:t xml:space="preserve">  /instructions/</w:t>
            </w:r>
          </w:p>
          <w:p>
            <w:pPr>
              <w:spacing w:after="0"/>
            </w:pPr>
            <w:r>
              <w:rPr>
                <w:rFonts w:ascii="Consolas" w:cs="Consolas" w:eastAsia="Consolas" w:hAnsi="Consolas"/>
                <w:sz w:val="18"/>
                <w:szCs w:val="18"/>
              </w:rPr>
              <w:t xml:space="preserve">    *.instructions.md</w:t>
            </w:r>
          </w:p>
          <w:p>
            <w:pPr>
              <w:spacing w:after="0"/>
            </w:pPr>
            <w:r>
              <w:rPr>
                <w:rFonts w:ascii="Consolas" w:cs="Consolas" w:eastAsia="Consolas" w:hAnsi="Consolas"/>
                <w:sz w:val="18"/>
                <w:szCs w:val="18"/>
              </w:rPr>
              <w:t xml:space="preserve">  copilot-instructions.md</w:t>
            </w:r>
          </w:p>
        </w:tc>
      </w:tr>
    </w:tbl>
    <w:p>
      <w:pPr>
        <w:spacing w:after="120"/>
      </w:pPr>
    </w:p>
    <w:p>
      <w:pPr>
        <w:spacing w:after="160" w:line="276"/>
      </w:pPr>
      <w:r>
        <w:t xml:space="preserve">Domain-first layout, not feature-first: a single feature touches business rules, a page, an API, and a schema table simultaneously. Organizing by domain lets each owning team manage their slice independently, without merge contention — which is what federated ownership requires structurally, not just as a policy statement.</w:t>
      </w:r>
    </w:p>
    <w:p>
      <w:pPr>
        <w:pStyle w:val="Heading2"/>
        <w:spacing w:after="150" w:before="300"/>
      </w:pPr>
      <w:r>
        <w:t xml:space="preserve">5.2 File Standard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id: CHKOUT-BR-042           # globally unique — see 5.4</w:t>
            </w:r>
          </w:p>
          <w:p>
            <w:pPr>
              <w:spacing w:after="0"/>
            </w:pPr>
            <w:r>
              <w:rPr>
                <w:rFonts w:ascii="Consolas" w:cs="Consolas" w:eastAsia="Consolas" w:hAnsi="Consolas"/>
                <w:sz w:val="18"/>
                <w:szCs w:val="18"/>
              </w:rPr>
              <w:t xml:space="preserve">domain: business-rules</w:t>
            </w:r>
          </w:p>
          <w:p>
            <w:pPr>
              <w:spacing w:after="0"/>
            </w:pPr>
            <w:r>
              <w:rPr>
                <w:rFonts w:ascii="Consolas" w:cs="Consolas" w:eastAsia="Consolas" w:hAnsi="Consolas"/>
                <w:sz w:val="18"/>
                <w:szCs w:val="18"/>
              </w:rPr>
              <w:t xml:space="preserve">title: Refund eligibility window</w:t>
            </w:r>
          </w:p>
          <w:p>
            <w:pPr>
              <w:spacing w:after="0"/>
            </w:pPr>
            <w:r>
              <w:rPr>
                <w:rFonts w:ascii="Consolas" w:cs="Consolas" w:eastAsia="Consolas" w:hAnsi="Consolas"/>
                <w:sz w:val="18"/>
                <w:szCs w:val="18"/>
              </w:rPr>
              <w:t xml:space="preserve">owner_team: ba</w:t>
            </w:r>
          </w:p>
          <w:p>
            <w:pPr>
              <w:spacing w:after="0"/>
            </w:pPr>
            <w:r>
              <w:rPr>
                <w:rFonts w:ascii="Consolas" w:cs="Consolas" w:eastAsia="Consolas" w:hAnsi="Consolas"/>
                <w:sz w:val="18"/>
                <w:szCs w:val="18"/>
              </w:rPr>
              <w:t xml:space="preserve">status: approved            # draft | approved | deprecated</w:t>
            </w:r>
          </w:p>
          <w:p>
            <w:pPr>
              <w:spacing w:after="0"/>
            </w:pPr>
            <w:r>
              <w:rPr>
                <w:rFonts w:ascii="Consolas" w:cs="Consolas" w:eastAsia="Consolas" w:hAnsi="Consolas"/>
                <w:sz w:val="18"/>
                <w:szCs w:val="18"/>
              </w:rPr>
              <w:t xml:space="preserve">sensitivity: internal       # map to corporate classification</w:t>
            </w:r>
          </w:p>
          <w:p>
            <w:pPr>
              <w:spacing w:after="0"/>
            </w:pPr>
            <w:r>
              <w:rPr>
                <w:rFonts w:ascii="Consolas" w:cs="Consolas" w:eastAsia="Consolas" w:hAnsi="Consolas"/>
                <w:sz w:val="18"/>
                <w:szCs w:val="18"/>
              </w:rPr>
              <w:t xml:space="preserve">last_reviewed: 2026-08-01</w:t>
            </w:r>
          </w:p>
          <w:p>
            <w:pPr>
              <w:spacing w:after="0"/>
            </w:pPr>
            <w:r>
              <w:rPr>
                <w:rFonts w:ascii="Consolas" w:cs="Consolas" w:eastAsia="Consolas" w:hAnsi="Consolas"/>
                <w:sz w:val="18"/>
                <w:szCs w:val="18"/>
              </w:rPr>
              <w:t xml:space="preserve">tracks:                     # code paths this doc describes</w:t>
            </w:r>
          </w:p>
          <w:p>
            <w:pPr>
              <w:spacing w:after="0"/>
            </w:pPr>
            <w:r>
              <w:rPr>
                <w:rFonts w:ascii="Consolas" w:cs="Consolas" w:eastAsia="Consolas" w:hAnsi="Consolas"/>
                <w:sz w:val="18"/>
                <w:szCs w:val="18"/>
              </w:rPr>
              <w:t xml:space="preserve">  - src/services/refund/**</w:t>
            </w:r>
          </w:p>
          <w:p>
            <w:pPr>
              <w:spacing w:after="0"/>
            </w:pPr>
            <w:r>
              <w:rPr>
                <w:rFonts w:ascii="Consolas" w:cs="Consolas" w:eastAsia="Consolas" w:hAnsi="Consolas"/>
                <w:sz w:val="18"/>
                <w:szCs w:val="18"/>
              </w:rPr>
              <w:t xml:space="preserve">related:</w:t>
            </w:r>
          </w:p>
          <w:p>
            <w:pPr>
              <w:spacing w:after="0"/>
            </w:pPr>
            <w:r>
              <w:rPr>
                <w:rFonts w:ascii="Consolas" w:cs="Consolas" w:eastAsia="Consolas" w:hAnsi="Consolas"/>
                <w:sz w:val="18"/>
                <w:szCs w:val="18"/>
              </w:rPr>
              <w:t xml:space="preserve">  - CHKOUT-WF-011</w:t>
            </w:r>
          </w:p>
          <w:p>
            <w:pPr>
              <w:spacing w:after="0"/>
            </w:pPr>
            <w:r>
              <w:rPr>
                <w:rFonts w:ascii="Consolas" w:cs="Consolas" w:eastAsia="Consolas" w:hAnsi="Consolas"/>
                <w:sz w:val="18"/>
                <w:szCs w:val="18"/>
              </w:rPr>
              <w:t xml:space="preserve">  - CHKOUT-API-refunds</w:t>
            </w:r>
          </w:p>
          <w:p>
            <w:pPr>
              <w:spacing w:after="0"/>
            </w:pPr>
            <w:r>
              <w:rPr>
                <w:rFonts w:ascii="Consolas" w:cs="Consolas" w:eastAsia="Consolas" w:hAnsi="Consolas"/>
                <w:sz w:val="18"/>
                <w:szCs w:val="18"/>
              </w:rPr>
              <w:t xml:space="preserve">superseded_by: null         # set when status: deprecated</w:t>
            </w:r>
          </w:p>
          <w:p>
            <w:pPr>
              <w:spacing w:after="0"/>
            </w:pPr>
            <w:r>
              <w:rPr>
                <w:rFonts w:ascii="Consolas" w:cs="Consolas" w:eastAsia="Consolas" w:hAnsi="Consolas"/>
                <w:sz w:val="18"/>
                <w:szCs w:val="18"/>
              </w:rPr>
              <w:t xml:space="preserve">authored_by: human          # human | agent — see 9.4</w:t>
            </w:r>
          </w:p>
          <w:p>
            <w:pPr>
              <w:spacing w:after="0"/>
            </w:pPr>
            <w:r>
              <w:rPr>
                <w:rFonts w:ascii="Consolas" w:cs="Consolas" w:eastAsia="Consolas" w:hAnsi="Consolas"/>
                <w:sz w:val="18"/>
                <w:szCs w:val="18"/>
              </w:rPr>
              <w:t xml:space="preserve">---</w:t>
            </w:r>
          </w:p>
        </w:tc>
      </w:tr>
    </w:tbl>
    <w:p>
      <w:pPr>
        <w:spacing w:after="120"/>
      </w:pPr>
    </w:p>
    <w:p>
      <w:pPr>
        <w:spacing w:after="160" w:line="276"/>
      </w:pPr>
      <w:r>
        <w:t xml:space="preserve">Two fields are new in version 2.0, and both are load-bearing:</w:t>
      </w:r>
    </w:p>
    <w:p>
      <w:pPr>
        <w:pStyle w:val="ListParagraph"/>
        <w:numPr>
          <w:ilvl w:val="0"/>
          <w:numId w:val="1"/>
        </w:numPr>
        <w:spacing w:after="80" w:line="276"/>
      </w:pPr>
      <w:r>
        <w:t xml:space="preserve">tracks: — the code paths this document describes. This is what makes churn-based staleness detection possible (Section 8.2). Without it, staleness detection is guesswork.</w:t>
      </w:r>
    </w:p>
    <w:p>
      <w:pPr>
        <w:pStyle w:val="ListParagraph"/>
        <w:numPr>
          <w:ilvl w:val="0"/>
          <w:numId w:val="1"/>
        </w:numPr>
        <w:spacing w:after="80" w:line="276"/>
      </w:pPr>
      <w:r>
        <w:t xml:space="preserve">superseded_by: — version 1.0 had a deprecated status but no way to indicate what replaced a document, leaving both agents and humans at a dead end.</w:t>
      </w:r>
    </w:p>
    <w:p>
      <w:pPr>
        <w:pStyle w:val="ListParagraph"/>
        <w:numPr>
          <w:ilvl w:val="0"/>
          <w:numId w:val="1"/>
        </w:numPr>
        <w:spacing w:after="80" w:line="276"/>
      </w:pPr>
      <w:r>
        <w:t xml:space="preserve">authored_by: — distinguishes human-authored documents from agent-proposed drafts (Section 9.4). Agent-proposed content never reaches approved status without human review.</w:t>
      </w:r>
    </w:p>
    <w:p>
      <w:pPr>
        <w:spacing w:after="120"/>
      </w:pPr>
    </w:p>
    <w:p>
      <w:pPr>
        <w:spacing w:after="160" w:line="276"/>
      </w:pPr>
      <w:r>
        <w:t xml:space="preserve">Files stay small and single-purpose — one rule, one workflow, one endpoint, one table. This is what makes them useful as AI context: an agent editing a refund service pulls in exactly the refund rule and refund contract, not an entire business-rules binder. The trade-off is more files to manage in exchange for far better signal-to-noise per agent query — the right trade for a layer meant to feed AI context windows rather than be read cover-to-cover.</w:t>
      </w:r>
    </w:p>
    <w:p>
      <w:pPr>
        <w:pStyle w:val="Heading2"/>
        <w:spacing w:after="150" w:before="300"/>
      </w:pPr>
      <w:r>
        <w:t xml:space="preserve">5.3 Definition of Done</w:t>
      </w:r>
    </w:p>
    <w:p>
      <w:pPr>
        <w:spacing w:after="160" w:line="276"/>
      </w:pPr>
      <w:r>
        <w:t xml:space="preserve">Version 1.0 allowed documents to move to approved without defining what that meant. A document is approvable when it has valid frontmatter; every related link resolves; it states behavior rather than implementation; it describes domain concepts rather than directory layout (file paths change constantly, and a document naming a moved path sends agents confidently to the wrong place); it contains no credentials or threat-model detail; and the owning team has reviewed it. This lives in _governance/definition-of-done.md and is partly machine-checked (Section 7).</w:t>
      </w:r>
    </w:p>
    <w:p>
      <w:pPr>
        <w:pStyle w:val="Heading2"/>
        <w:spacing w:after="150" w:before="300"/>
      </w:pPr>
      <w:r>
        <w:t xml:space="preserve">5.4 ID Namespacing for Multiple Repositories</w:t>
      </w:r>
    </w:p>
    <w:p>
      <w:pPr>
        <w:spacing w:after="160" w:line="276"/>
      </w:pPr>
      <w:r>
        <w:rPr>
          <w:b/>
          <w:bCs/>
          <w:color w:val="1F3864"/>
        </w:rPr>
        <w:t xml:space="preserve">Decide before Phase 1: </w:t>
      </w:r>
      <w:r>
        <w:t xml:space="preserve">This cannot be retrofitted. BR-042 is not unique across four repositories, and related links break the moment a second application adopts the layer.</w:t>
      </w:r>
    </w:p>
    <w:p>
      <w:pPr>
        <w:spacing w:after="160" w:line="276"/>
      </w:pPr>
      <w:r>
        <w:t xml:space="preserve">Decision: IDs are namespaced by application, in the form APP-DOMAIN-NNN, for example CHKOUT-BR-042. Single-application teams may alias to the short form locally, but the canonical ID in frontmatter is always fully qualified.</w:t>
      </w:r>
    </w:p>
    <w:p>
      <w:pPr>
        <w:spacing w:after="160" w:line="276"/>
      </w:pPr>
      <w:r>
        <w:t xml:space="preserve">Scaling path: shared domains — glossary, cross-cutting non-functional requirements, shared schema — live in a central knowledge-core repository consumed as a git submodule or package, while application-specific domains stay in the application repository. This keeps ownership local while allowing genuinely shared facts to exist exactly once.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6. Governance Model</w:t>
      </w:r>
    </w:p>
    <w:p>
      <w:pPr>
        <w:spacing w:after="160" w:line="276"/>
      </w:pPr>
      <w:r>
        <w:t xml:space="preserve">Federated ownership: each team owns and approves changes within their domain, while the governance function sets the shared standard rather than approving every change.</w:t>
      </w:r>
    </w:p>
    <w:p>
      <w:pPr>
        <w:pStyle w:val="Heading2"/>
        <w:spacing w:after="150" w:before="300"/>
      </w:pPr>
      <w:r>
        <w:t xml:space="preserve">6.1 Ownership &amp; Responsibility (RACI)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1750"/>
        <w:gridCol w:w="1700"/>
        <w:gridCol w:w="1450"/>
      </w:tblGrid>
      <w:tr>
        <w:trPr>
          <w:tblHeader/>
        </w:trPr>
        <w:tc>
          <w:tcPr>
            <w:tcW w:type="dxa" w:w="2700"/>
            <w:shd w:fill="1F3864" w:val="clear"/>
            <w:tcMar>
              <w:top w:type="dxa" w:w="80"/>
              <w:left w:type="dxa" w:w="120"/>
              <w:bottom w:type="dxa" w:w="80"/>
              <w:right w:type="dxa" w:w="120"/>
            </w:tcMar>
            <w:vAlign w:val="center"/>
          </w:tcPr>
          <w:p>
            <w:pPr>
              <w:spacing w:after="0"/>
            </w:pPr>
            <w:r>
              <w:rPr>
                <w:b/>
                <w:bCs/>
                <w:color w:val="FFFFFF"/>
                <w:sz w:val="20"/>
                <w:szCs w:val="20"/>
              </w:rPr>
              <w:t xml:space="preserve">Domain</w:t>
            </w:r>
          </w:p>
        </w:tc>
        <w:tc>
          <w:tcPr>
            <w:tcW w:type="dxa" w:w="1750"/>
            <w:shd w:fill="1F3864" w:val="clear"/>
            <w:tcMar>
              <w:top w:type="dxa" w:w="80"/>
              <w:left w:type="dxa" w:w="120"/>
              <w:bottom w:type="dxa" w:w="80"/>
              <w:right w:type="dxa" w:w="120"/>
            </w:tcMar>
            <w:vAlign w:val="center"/>
          </w:tcPr>
          <w:p>
            <w:pPr>
              <w:spacing w:after="0"/>
            </w:pPr>
            <w:r>
              <w:rPr>
                <w:b/>
                <w:bCs/>
                <w:color w:val="FFFFFF"/>
                <w:sz w:val="20"/>
                <w:szCs w:val="20"/>
              </w:rPr>
              <w:t xml:space="preserve">Responsible</w:t>
            </w:r>
          </w:p>
        </w:tc>
        <w:tc>
          <w:tcPr>
            <w:tcW w:type="dxa" w:w="1750"/>
            <w:shd w:fill="1F3864" w:val="clear"/>
            <w:tcMar>
              <w:top w:type="dxa" w:w="80"/>
              <w:left w:type="dxa" w:w="120"/>
              <w:bottom w:type="dxa" w:w="80"/>
              <w:right w:type="dxa" w:w="120"/>
            </w:tcMar>
            <w:vAlign w:val="center"/>
          </w:tcPr>
          <w:p>
            <w:pPr>
              <w:spacing w:after="0"/>
            </w:pPr>
            <w:r>
              <w:rPr>
                <w:b/>
                <w:bCs/>
                <w:color w:val="FFFFFF"/>
                <w:sz w:val="20"/>
                <w:szCs w:val="20"/>
              </w:rPr>
              <w:t xml:space="preserve">Accountable</w:t>
            </w:r>
          </w:p>
        </w:tc>
        <w:tc>
          <w:tcPr>
            <w:tcW w:type="dxa" w:w="1700"/>
            <w:shd w:fill="1F3864" w:val="clear"/>
            <w:tcMar>
              <w:top w:type="dxa" w:w="80"/>
              <w:left w:type="dxa" w:w="120"/>
              <w:bottom w:type="dxa" w:w="80"/>
              <w:right w:type="dxa" w:w="120"/>
            </w:tcMar>
            <w:vAlign w:val="center"/>
          </w:tcPr>
          <w:p>
            <w:pPr>
              <w:spacing w:after="0"/>
            </w:pPr>
            <w:r>
              <w:rPr>
                <w:b/>
                <w:bCs/>
                <w:color w:val="FFFFFF"/>
                <w:sz w:val="20"/>
                <w:szCs w:val="20"/>
              </w:rPr>
              <w:t xml:space="preserve">Consulted</w:t>
            </w:r>
          </w:p>
        </w:tc>
        <w:tc>
          <w:tcPr>
            <w:tcW w:type="dxa" w:w="1450"/>
            <w:shd w:fill="1F3864" w:val="clear"/>
            <w:tcMar>
              <w:top w:type="dxa" w:w="80"/>
              <w:left w:type="dxa" w:w="120"/>
              <w:bottom w:type="dxa" w:w="80"/>
              <w:right w:type="dxa" w:w="120"/>
            </w:tcMar>
            <w:vAlign w:val="center"/>
          </w:tcPr>
          <w:p>
            <w:pPr>
              <w:spacing w:after="0"/>
            </w:pPr>
            <w:r>
              <w:rPr>
                <w:b/>
                <w:bCs/>
                <w:color w:val="FFFFFF"/>
                <w:sz w:val="20"/>
                <w:szCs w:val="20"/>
              </w:rPr>
              <w:t xml:space="preserve">Informed</w:t>
            </w:r>
          </w:p>
        </w:tc>
      </w:tr>
      <w:tr>
        <w:tc>
          <w:tcPr>
            <w:tcW w:type="dxa" w:w="2700"/>
            <w:tcMar>
              <w:top w:type="dxa" w:w="80"/>
              <w:left w:type="dxa" w:w="120"/>
              <w:bottom w:type="dxa" w:w="80"/>
              <w:right w:type="dxa" w:w="120"/>
            </w:tcMar>
            <w:vAlign w:val="center"/>
          </w:tcPr>
          <w:p>
            <w:pPr>
              <w:spacing w:after="0"/>
            </w:pPr>
            <w:r>
              <w:rPr>
                <w:sz w:val="20"/>
                <w:szCs w:val="20"/>
              </w:rPr>
              <w:t xml:space="preserve">business-rules, workflows</w:t>
            </w:r>
          </w:p>
        </w:tc>
        <w:tc>
          <w:tcPr>
            <w:tcW w:type="dxa" w:w="1750"/>
            <w:tcMar>
              <w:top w:type="dxa" w:w="80"/>
              <w:left w:type="dxa" w:w="120"/>
              <w:bottom w:type="dxa" w:w="80"/>
              <w:right w:type="dxa" w:w="120"/>
            </w:tcMar>
            <w:vAlign w:val="center"/>
          </w:tcPr>
          <w:p>
            <w:pPr>
              <w:spacing w:after="0"/>
            </w:pPr>
            <w:r>
              <w:rPr>
                <w:sz w:val="20"/>
                <w:szCs w:val="20"/>
              </w:rPr>
              <w:t xml:space="preserve">BA</w:t>
            </w:r>
          </w:p>
        </w:tc>
        <w:tc>
          <w:tcPr>
            <w:tcW w:type="dxa" w:w="1750"/>
            <w:tcMar>
              <w:top w:type="dxa" w:w="80"/>
              <w:left w:type="dxa" w:w="120"/>
              <w:bottom w:type="dxa" w:w="80"/>
              <w:right w:type="dxa" w:w="120"/>
            </w:tcMar>
            <w:vAlign w:val="center"/>
          </w:tcPr>
          <w:p>
            <w:pPr>
              <w:spacing w:after="0"/>
            </w:pPr>
            <w:r>
              <w:rPr>
                <w:sz w:val="20"/>
                <w:szCs w:val="20"/>
              </w:rPr>
              <w:t xml:space="preserve">BA Lead</w:t>
            </w:r>
          </w:p>
        </w:tc>
        <w:tc>
          <w:tcPr>
            <w:tcW w:type="dxa" w:w="1700"/>
            <w:tcMar>
              <w:top w:type="dxa" w:w="80"/>
              <w:left w:type="dxa" w:w="120"/>
              <w:bottom w:type="dxa" w:w="80"/>
              <w:right w:type="dxa" w:w="120"/>
            </w:tcMar>
            <w:vAlign w:val="center"/>
          </w:tcPr>
          <w:p>
            <w:pPr>
              <w:spacing w:after="0"/>
            </w:pPr>
            <w:r>
              <w:rPr>
                <w:sz w:val="20"/>
                <w:szCs w:val="20"/>
              </w:rPr>
              <w:t xml:space="preserve">Dev Leads</w:t>
            </w:r>
          </w:p>
        </w:tc>
        <w:tc>
          <w:tcPr>
            <w:tcW w:type="dxa" w:w="1450"/>
            <w:tcMar>
              <w:top w:type="dxa" w:w="80"/>
              <w:left w:type="dxa" w:w="120"/>
              <w:bottom w:type="dxa" w:w="80"/>
              <w:right w:type="dxa" w:w="120"/>
            </w:tcMar>
            <w:vAlign w:val="center"/>
          </w:tcPr>
          <w:p>
            <w:pPr>
              <w:spacing w:after="0"/>
            </w:pPr>
            <w:r>
              <w:rPr>
                <w:sz w:val="20"/>
                <w:szCs w:val="20"/>
              </w:rPr>
              <w:t xml:space="preserve">QA, Automation</w:t>
            </w:r>
          </w:p>
        </w:tc>
      </w:tr>
      <w:tr>
        <w:tc>
          <w:tcPr>
            <w:tcW w:type="dxa" w:w="2700"/>
            <w:shd w:fill="FAFAFA" w:val="clear"/>
            <w:tcMar>
              <w:top w:type="dxa" w:w="80"/>
              <w:left w:type="dxa" w:w="120"/>
              <w:bottom w:type="dxa" w:w="80"/>
              <w:right w:type="dxa" w:w="120"/>
            </w:tcMar>
            <w:vAlign w:val="center"/>
          </w:tcPr>
          <w:p>
            <w:pPr>
              <w:spacing w:after="0"/>
            </w:pPr>
            <w:r>
              <w:rPr>
                <w:sz w:val="20"/>
                <w:szCs w:val="20"/>
              </w:rPr>
              <w:t xml:space="preserve">pages, elements</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Frontend Dev</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Frontend Lead</w:t>
            </w:r>
          </w:p>
        </w:tc>
        <w:tc>
          <w:tcPr>
            <w:tcW w:type="dxa" w:w="1700"/>
            <w:shd w:fill="FAFAFA" w:val="clear"/>
            <w:tcMar>
              <w:top w:type="dxa" w:w="80"/>
              <w:left w:type="dxa" w:w="120"/>
              <w:bottom w:type="dxa" w:w="80"/>
              <w:right w:type="dxa" w:w="120"/>
            </w:tcMar>
            <w:vAlign w:val="center"/>
          </w:tcPr>
          <w:p>
            <w:pPr>
              <w:spacing w:after="0"/>
            </w:pPr>
            <w:r>
              <w:rPr>
                <w:sz w:val="20"/>
                <w:szCs w:val="20"/>
              </w:rPr>
              <w:t xml:space="preserve">BA, QA</w:t>
            </w:r>
          </w:p>
        </w:tc>
        <w:tc>
          <w:tcPr>
            <w:tcW w:type="dxa" w:w="1450"/>
            <w:shd w:fill="FAFAFA" w:val="clear"/>
            <w:tcMar>
              <w:top w:type="dxa" w:w="80"/>
              <w:left w:type="dxa" w:w="120"/>
              <w:bottom w:type="dxa" w:w="80"/>
              <w:right w:type="dxa" w:w="120"/>
            </w:tcMar>
            <w:vAlign w:val="center"/>
          </w:tcPr>
          <w:p>
            <w:pPr>
              <w:spacing w:after="0"/>
            </w:pPr>
            <w:r>
              <w:rPr>
                <w:sz w:val="20"/>
                <w:szCs w:val="20"/>
              </w:rPr>
              <w:t xml:space="preserve">Automation</w:t>
            </w:r>
          </w:p>
        </w:tc>
      </w:tr>
      <w:tr>
        <w:tc>
          <w:tcPr>
            <w:tcW w:type="dxa" w:w="2700"/>
            <w:tcMar>
              <w:top w:type="dxa" w:w="80"/>
              <w:left w:type="dxa" w:w="120"/>
              <w:bottom w:type="dxa" w:w="80"/>
              <w:right w:type="dxa" w:w="120"/>
            </w:tcMar>
            <w:vAlign w:val="center"/>
          </w:tcPr>
          <w:p>
            <w:pPr>
              <w:spacing w:after="0"/>
            </w:pPr>
            <w:r>
              <w:rPr>
                <w:sz w:val="20"/>
                <w:szCs w:val="20"/>
              </w:rPr>
              <w:t xml:space="preserve">db-schema, api-contracts (derived)</w:t>
            </w:r>
          </w:p>
        </w:tc>
        <w:tc>
          <w:tcPr>
            <w:tcW w:type="dxa" w:w="1750"/>
            <w:tcMar>
              <w:top w:type="dxa" w:w="80"/>
              <w:left w:type="dxa" w:w="120"/>
              <w:bottom w:type="dxa" w:w="80"/>
              <w:right w:type="dxa" w:w="120"/>
            </w:tcMar>
            <w:vAlign w:val="center"/>
          </w:tcPr>
          <w:p>
            <w:pPr>
              <w:spacing w:after="0"/>
            </w:pPr>
            <w:r>
              <w:rPr>
                <w:sz w:val="20"/>
                <w:szCs w:val="20"/>
              </w:rPr>
              <w:t xml:space="preserve">Backend Dev</w:t>
            </w:r>
          </w:p>
        </w:tc>
        <w:tc>
          <w:tcPr>
            <w:tcW w:type="dxa" w:w="1750"/>
            <w:tcMar>
              <w:top w:type="dxa" w:w="80"/>
              <w:left w:type="dxa" w:w="120"/>
              <w:bottom w:type="dxa" w:w="80"/>
              <w:right w:type="dxa" w:w="120"/>
            </w:tcMar>
            <w:vAlign w:val="center"/>
          </w:tcPr>
          <w:p>
            <w:pPr>
              <w:spacing w:after="0"/>
            </w:pPr>
            <w:r>
              <w:rPr>
                <w:sz w:val="20"/>
                <w:szCs w:val="20"/>
              </w:rPr>
              <w:t xml:space="preserve">Backend Lead</w:t>
            </w:r>
          </w:p>
        </w:tc>
        <w:tc>
          <w:tcPr>
            <w:tcW w:type="dxa" w:w="1700"/>
            <w:tcMar>
              <w:top w:type="dxa" w:w="80"/>
              <w:left w:type="dxa" w:w="120"/>
              <w:bottom w:type="dxa" w:w="80"/>
              <w:right w:type="dxa" w:w="120"/>
            </w:tcMar>
            <w:vAlign w:val="center"/>
          </w:tcPr>
          <w:p>
            <w:pPr>
              <w:spacing w:after="0"/>
            </w:pPr>
            <w:r>
              <w:rPr>
                <w:sz w:val="20"/>
                <w:szCs w:val="20"/>
              </w:rPr>
              <w:t xml:space="preserve">BA</w:t>
            </w:r>
          </w:p>
        </w:tc>
        <w:tc>
          <w:tcPr>
            <w:tcW w:type="dxa" w:w="1450"/>
            <w:tcMar>
              <w:top w:type="dxa" w:w="80"/>
              <w:left w:type="dxa" w:w="120"/>
              <w:bottom w:type="dxa" w:w="80"/>
              <w:right w:type="dxa" w:w="120"/>
            </w:tcMar>
            <w:vAlign w:val="center"/>
          </w:tcPr>
          <w:p>
            <w:pPr>
              <w:spacing w:after="0"/>
            </w:pPr>
            <w:r>
              <w:rPr>
                <w:sz w:val="20"/>
                <w:szCs w:val="20"/>
              </w:rPr>
              <w:t xml:space="preserve">QA, Automation</w:t>
            </w:r>
          </w:p>
        </w:tc>
      </w:tr>
      <w:tr>
        <w:tc>
          <w:tcPr>
            <w:tcW w:type="dxa" w:w="2700"/>
            <w:shd w:fill="FAFAFA" w:val="clear"/>
            <w:tcMar>
              <w:top w:type="dxa" w:w="80"/>
              <w:left w:type="dxa" w:w="120"/>
              <w:bottom w:type="dxa" w:w="80"/>
              <w:right w:type="dxa" w:w="120"/>
            </w:tcMar>
            <w:vAlign w:val="center"/>
          </w:tcPr>
          <w:p>
            <w:pPr>
              <w:spacing w:after="0"/>
            </w:pPr>
            <w:r>
              <w:rPr>
                <w:sz w:val="20"/>
                <w:szCs w:val="20"/>
              </w:rPr>
              <w:t xml:space="preserve">validation-rules</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Dev + QA</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Dev Lead</w:t>
            </w:r>
          </w:p>
        </w:tc>
        <w:tc>
          <w:tcPr>
            <w:tcW w:type="dxa" w:w="1700"/>
            <w:shd w:fill="FAFAFA" w:val="clear"/>
            <w:tcMar>
              <w:top w:type="dxa" w:w="80"/>
              <w:left w:type="dxa" w:w="120"/>
              <w:bottom w:type="dxa" w:w="80"/>
              <w:right w:type="dxa" w:w="120"/>
            </w:tcMar>
            <w:vAlign w:val="center"/>
          </w:tcPr>
          <w:p>
            <w:pPr>
              <w:spacing w:after="0"/>
            </w:pPr>
            <w:r>
              <w:rPr>
                <w:sz w:val="20"/>
                <w:szCs w:val="20"/>
              </w:rPr>
              <w:t xml:space="preserve">BA</w:t>
            </w:r>
          </w:p>
        </w:tc>
        <w:tc>
          <w:tcPr>
            <w:tcW w:type="dxa" w:w="1450"/>
            <w:shd w:fill="FAFAFA" w:val="clear"/>
            <w:tcMar>
              <w:top w:type="dxa" w:w="80"/>
              <w:left w:type="dxa" w:w="120"/>
              <w:bottom w:type="dxa" w:w="80"/>
              <w:right w:type="dxa" w:w="120"/>
            </w:tcMar>
            <w:vAlign w:val="center"/>
          </w:tcPr>
          <w:p>
            <w:pPr>
              <w:spacing w:after="0"/>
            </w:pPr>
            <w:r>
              <w:rPr>
                <w:sz w:val="20"/>
                <w:szCs w:val="20"/>
              </w:rPr>
              <w:t xml:space="preserve">Automation</w:t>
            </w:r>
          </w:p>
        </w:tc>
      </w:tr>
      <w:tr>
        <w:tc>
          <w:tcPr>
            <w:tcW w:type="dxa" w:w="2700"/>
            <w:tcMar>
              <w:top w:type="dxa" w:w="80"/>
              <w:left w:type="dxa" w:w="120"/>
              <w:bottom w:type="dxa" w:w="80"/>
              <w:right w:type="dxa" w:w="120"/>
            </w:tcMar>
            <w:vAlign w:val="center"/>
          </w:tcPr>
          <w:p>
            <w:pPr>
              <w:spacing w:after="0"/>
            </w:pPr>
            <w:r>
              <w:rPr>
                <w:sz w:val="20"/>
                <w:szCs w:val="20"/>
              </w:rPr>
              <w:t xml:space="preserve">non-functional</w:t>
            </w:r>
          </w:p>
        </w:tc>
        <w:tc>
          <w:tcPr>
            <w:tcW w:type="dxa" w:w="1750"/>
            <w:tcMar>
              <w:top w:type="dxa" w:w="80"/>
              <w:left w:type="dxa" w:w="120"/>
              <w:bottom w:type="dxa" w:w="80"/>
              <w:right w:type="dxa" w:w="120"/>
            </w:tcMar>
            <w:vAlign w:val="center"/>
          </w:tcPr>
          <w:p>
            <w:pPr>
              <w:spacing w:after="0"/>
            </w:pPr>
            <w:r>
              <w:rPr>
                <w:sz w:val="20"/>
                <w:szCs w:val="20"/>
              </w:rPr>
              <w:t xml:space="preserve">Architecture</w:t>
            </w:r>
          </w:p>
        </w:tc>
        <w:tc>
          <w:tcPr>
            <w:tcW w:type="dxa" w:w="1750"/>
            <w:tcMar>
              <w:top w:type="dxa" w:w="80"/>
              <w:left w:type="dxa" w:w="120"/>
              <w:bottom w:type="dxa" w:w="80"/>
              <w:right w:type="dxa" w:w="120"/>
            </w:tcMar>
            <w:vAlign w:val="center"/>
          </w:tcPr>
          <w:p>
            <w:pPr>
              <w:spacing w:after="0"/>
            </w:pPr>
            <w:r>
              <w:rPr>
                <w:sz w:val="20"/>
                <w:szCs w:val="20"/>
              </w:rPr>
              <w:t xml:space="preserve">Tech Management</w:t>
            </w:r>
          </w:p>
        </w:tc>
        <w:tc>
          <w:tcPr>
            <w:tcW w:type="dxa" w:w="1700"/>
            <w:tcMar>
              <w:top w:type="dxa" w:w="80"/>
              <w:left w:type="dxa" w:w="120"/>
              <w:bottom w:type="dxa" w:w="80"/>
              <w:right w:type="dxa" w:w="120"/>
            </w:tcMar>
            <w:vAlign w:val="center"/>
          </w:tcPr>
          <w:p>
            <w:pPr>
              <w:spacing w:after="0"/>
            </w:pPr>
            <w:r>
              <w:rPr>
                <w:sz w:val="20"/>
                <w:szCs w:val="20"/>
              </w:rPr>
              <w:t xml:space="preserve">Dev, Backend Leads</w:t>
            </w:r>
          </w:p>
        </w:tc>
        <w:tc>
          <w:tcPr>
            <w:tcW w:type="dxa" w:w="1450"/>
            <w:tcMar>
              <w:top w:type="dxa" w:w="80"/>
              <w:left w:type="dxa" w:w="120"/>
              <w:bottom w:type="dxa" w:w="80"/>
              <w:right w:type="dxa" w:w="120"/>
            </w:tcMar>
            <w:vAlign w:val="center"/>
          </w:tcPr>
          <w:p>
            <w:pPr>
              <w:spacing w:after="0"/>
            </w:pPr>
            <w:r>
              <w:rPr>
                <w:sz w:val="20"/>
                <w:szCs w:val="20"/>
              </w:rPr>
              <w:t xml:space="preserve">All teams</w:t>
            </w:r>
          </w:p>
        </w:tc>
      </w:tr>
      <w:tr>
        <w:tc>
          <w:tcPr>
            <w:tcW w:type="dxa" w:w="2700"/>
            <w:shd w:fill="FAFAFA" w:val="clear"/>
            <w:tcMar>
              <w:top w:type="dxa" w:w="80"/>
              <w:left w:type="dxa" w:w="120"/>
              <w:bottom w:type="dxa" w:w="80"/>
              <w:right w:type="dxa" w:w="120"/>
            </w:tcMar>
            <w:vAlign w:val="center"/>
          </w:tcPr>
          <w:p>
            <w:pPr>
              <w:spacing w:after="0"/>
            </w:pPr>
            <w:r>
              <w:rPr>
                <w:sz w:val="20"/>
                <w:szCs w:val="20"/>
              </w:rPr>
              <w:t xml:space="preserve">integrations</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Backend Dev</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Backend Lead</w:t>
            </w:r>
          </w:p>
        </w:tc>
        <w:tc>
          <w:tcPr>
            <w:tcW w:type="dxa" w:w="1700"/>
            <w:shd w:fill="FAFAFA" w:val="clear"/>
            <w:tcMar>
              <w:top w:type="dxa" w:w="80"/>
              <w:left w:type="dxa" w:w="120"/>
              <w:bottom w:type="dxa" w:w="80"/>
              <w:right w:type="dxa" w:w="120"/>
            </w:tcMar>
            <w:vAlign w:val="center"/>
          </w:tcPr>
          <w:p>
            <w:pPr>
              <w:spacing w:after="0"/>
            </w:pPr>
            <w:r>
              <w:rPr>
                <w:sz w:val="20"/>
                <w:szCs w:val="20"/>
              </w:rPr>
              <w:t xml:space="preserve">Architecture</w:t>
            </w:r>
          </w:p>
        </w:tc>
        <w:tc>
          <w:tcPr>
            <w:tcW w:type="dxa" w:w="1450"/>
            <w:shd w:fill="FAFAFA" w:val="clear"/>
            <w:tcMar>
              <w:top w:type="dxa" w:w="80"/>
              <w:left w:type="dxa" w:w="120"/>
              <w:bottom w:type="dxa" w:w="80"/>
              <w:right w:type="dxa" w:w="120"/>
            </w:tcMar>
            <w:vAlign w:val="center"/>
          </w:tcPr>
          <w:p>
            <w:pPr>
              <w:spacing w:after="0"/>
            </w:pPr>
            <w:r>
              <w:rPr>
                <w:sz w:val="20"/>
                <w:szCs w:val="20"/>
              </w:rPr>
              <w:t xml:space="preserve">QA, Automation</w:t>
            </w:r>
          </w:p>
        </w:tc>
      </w:tr>
      <w:tr>
        <w:tc>
          <w:tcPr>
            <w:tcW w:type="dxa" w:w="2700"/>
            <w:tcMar>
              <w:top w:type="dxa" w:w="80"/>
              <w:left w:type="dxa" w:w="120"/>
              <w:bottom w:type="dxa" w:w="80"/>
              <w:right w:type="dxa" w:w="120"/>
            </w:tcMar>
            <w:vAlign w:val="center"/>
          </w:tcPr>
          <w:p>
            <w:pPr>
              <w:spacing w:after="0"/>
            </w:pPr>
            <w:r>
              <w:rPr>
                <w:sz w:val="20"/>
                <w:szCs w:val="20"/>
              </w:rPr>
              <w:t xml:space="preserve">glossary</w:t>
            </w:r>
          </w:p>
        </w:tc>
        <w:tc>
          <w:tcPr>
            <w:tcW w:type="dxa" w:w="1750"/>
            <w:tcMar>
              <w:top w:type="dxa" w:w="80"/>
              <w:left w:type="dxa" w:w="120"/>
              <w:bottom w:type="dxa" w:w="80"/>
              <w:right w:type="dxa" w:w="120"/>
            </w:tcMar>
            <w:vAlign w:val="center"/>
          </w:tcPr>
          <w:p>
            <w:pPr>
              <w:spacing w:after="0"/>
            </w:pPr>
            <w:r>
              <w:rPr>
                <w:sz w:val="20"/>
                <w:szCs w:val="20"/>
              </w:rPr>
              <w:t xml:space="preserve">BA</w:t>
            </w:r>
          </w:p>
        </w:tc>
        <w:tc>
          <w:tcPr>
            <w:tcW w:type="dxa" w:w="1750"/>
            <w:tcMar>
              <w:top w:type="dxa" w:w="80"/>
              <w:left w:type="dxa" w:w="120"/>
              <w:bottom w:type="dxa" w:w="80"/>
              <w:right w:type="dxa" w:w="120"/>
            </w:tcMar>
            <w:vAlign w:val="center"/>
          </w:tcPr>
          <w:p>
            <w:pPr>
              <w:spacing w:after="0"/>
            </w:pPr>
            <w:r>
              <w:rPr>
                <w:sz w:val="20"/>
                <w:szCs w:val="20"/>
              </w:rPr>
              <w:t xml:space="preserve">BA Lead</w:t>
            </w:r>
          </w:p>
        </w:tc>
        <w:tc>
          <w:tcPr>
            <w:tcW w:type="dxa" w:w="1700"/>
            <w:tcMar>
              <w:top w:type="dxa" w:w="80"/>
              <w:left w:type="dxa" w:w="120"/>
              <w:bottom w:type="dxa" w:w="80"/>
              <w:right w:type="dxa" w:w="120"/>
            </w:tcMar>
            <w:vAlign w:val="center"/>
          </w:tcPr>
          <w:p>
            <w:pPr>
              <w:spacing w:after="0"/>
            </w:pPr>
            <w:r>
              <w:rPr>
                <w:sz w:val="20"/>
                <w:szCs w:val="20"/>
              </w:rPr>
              <w:t xml:space="preserve">All domain owners</w:t>
            </w:r>
          </w:p>
        </w:tc>
        <w:tc>
          <w:tcPr>
            <w:tcW w:type="dxa" w:w="1450"/>
            <w:tcMar>
              <w:top w:type="dxa" w:w="80"/>
              <w:left w:type="dxa" w:w="120"/>
              <w:bottom w:type="dxa" w:w="80"/>
              <w:right w:type="dxa" w:w="120"/>
            </w:tcMar>
            <w:vAlign w:val="center"/>
          </w:tcPr>
          <w:p>
            <w:pPr>
              <w:spacing w:after="0"/>
            </w:pPr>
            <w:r>
              <w:rPr>
                <w:sz w:val="20"/>
                <w:szCs w:val="20"/>
              </w:rPr>
              <w:t xml:space="preserve">All teams</w:t>
            </w:r>
          </w:p>
        </w:tc>
      </w:tr>
      <w:tr>
        <w:tc>
          <w:tcPr>
            <w:tcW w:type="dxa" w:w="2700"/>
            <w:shd w:fill="FAFAFA" w:val="clear"/>
            <w:tcMar>
              <w:top w:type="dxa" w:w="80"/>
              <w:left w:type="dxa" w:w="120"/>
              <w:bottom w:type="dxa" w:w="80"/>
              <w:right w:type="dxa" w:w="120"/>
            </w:tcMar>
            <w:vAlign w:val="center"/>
          </w:tcPr>
          <w:p>
            <w:pPr>
              <w:spacing w:after="0"/>
            </w:pPr>
            <w:r>
              <w:rPr>
                <w:sz w:val="20"/>
                <w:szCs w:val="20"/>
              </w:rPr>
              <w:t xml:space="preserve">decisions (ADRs)</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Architecture</w:t>
            </w:r>
          </w:p>
        </w:tc>
        <w:tc>
          <w:tcPr>
            <w:tcW w:type="dxa" w:w="1750"/>
            <w:shd w:fill="FAFAFA" w:val="clear"/>
            <w:tcMar>
              <w:top w:type="dxa" w:w="80"/>
              <w:left w:type="dxa" w:w="120"/>
              <w:bottom w:type="dxa" w:w="80"/>
              <w:right w:type="dxa" w:w="120"/>
            </w:tcMar>
            <w:vAlign w:val="center"/>
          </w:tcPr>
          <w:p>
            <w:pPr>
              <w:spacing w:after="0"/>
            </w:pPr>
            <w:r>
              <w:rPr>
                <w:sz w:val="20"/>
                <w:szCs w:val="20"/>
              </w:rPr>
              <w:t xml:space="preserve">Tech Management</w:t>
            </w:r>
          </w:p>
        </w:tc>
        <w:tc>
          <w:tcPr>
            <w:tcW w:type="dxa" w:w="1700"/>
            <w:shd w:fill="FAFAFA" w:val="clear"/>
            <w:tcMar>
              <w:top w:type="dxa" w:w="80"/>
              <w:left w:type="dxa" w:w="120"/>
              <w:bottom w:type="dxa" w:w="80"/>
              <w:right w:type="dxa" w:w="120"/>
            </w:tcMar>
            <w:vAlign w:val="center"/>
          </w:tcPr>
          <w:p>
            <w:pPr>
              <w:spacing w:after="0"/>
            </w:pPr>
            <w:r>
              <w:rPr>
                <w:sz w:val="20"/>
                <w:szCs w:val="20"/>
              </w:rPr>
              <w:t xml:space="preserve">All domain owners</w:t>
            </w:r>
          </w:p>
        </w:tc>
        <w:tc>
          <w:tcPr>
            <w:tcW w:type="dxa" w:w="1450"/>
            <w:shd w:fill="FAFAFA" w:val="clear"/>
            <w:tcMar>
              <w:top w:type="dxa" w:w="80"/>
              <w:left w:type="dxa" w:w="120"/>
              <w:bottom w:type="dxa" w:w="80"/>
              <w:right w:type="dxa" w:w="120"/>
            </w:tcMar>
            <w:vAlign w:val="center"/>
          </w:tcPr>
          <w:p>
            <w:pPr>
              <w:spacing w:after="0"/>
            </w:pPr>
            <w:r>
              <w:rPr>
                <w:sz w:val="20"/>
                <w:szCs w:val="20"/>
              </w:rPr>
              <w:t xml:space="preserve">All teams</w:t>
            </w:r>
          </w:p>
        </w:tc>
      </w:tr>
      <w:tr>
        <w:tc>
          <w:tcPr>
            <w:tcW w:type="dxa" w:w="2700"/>
            <w:tcMar>
              <w:top w:type="dxa" w:w="80"/>
              <w:left w:type="dxa" w:w="120"/>
              <w:bottom w:type="dxa" w:w="80"/>
              <w:right w:type="dxa" w:w="120"/>
            </w:tcMar>
            <w:vAlign w:val="center"/>
          </w:tcPr>
          <w:p>
            <w:pPr>
              <w:spacing w:after="0"/>
            </w:pPr>
            <w:r>
              <w:rPr>
                <w:sz w:val="20"/>
                <w:szCs w:val="20"/>
              </w:rPr>
              <w:t xml:space="preserve">_governance/ standards</w:t>
            </w:r>
          </w:p>
        </w:tc>
        <w:tc>
          <w:tcPr>
            <w:tcW w:type="dxa" w:w="1750"/>
            <w:tcMar>
              <w:top w:type="dxa" w:w="80"/>
              <w:left w:type="dxa" w:w="120"/>
              <w:bottom w:type="dxa" w:w="80"/>
              <w:right w:type="dxa" w:w="120"/>
            </w:tcMar>
            <w:vAlign w:val="center"/>
          </w:tcPr>
          <w:p>
            <w:pPr>
              <w:spacing w:after="0"/>
            </w:pPr>
            <w:r>
              <w:rPr>
                <w:sz w:val="20"/>
                <w:szCs w:val="20"/>
              </w:rPr>
              <w:t xml:space="preserve">BA (governance role)</w:t>
            </w:r>
          </w:p>
        </w:tc>
        <w:tc>
          <w:tcPr>
            <w:tcW w:type="dxa" w:w="1750"/>
            <w:tcMar>
              <w:top w:type="dxa" w:w="80"/>
              <w:left w:type="dxa" w:w="120"/>
              <w:bottom w:type="dxa" w:w="80"/>
              <w:right w:type="dxa" w:w="120"/>
            </w:tcMar>
            <w:vAlign w:val="center"/>
          </w:tcPr>
          <w:p>
            <w:pPr>
              <w:spacing w:after="0"/>
            </w:pPr>
            <w:r>
              <w:rPr>
                <w:sz w:val="20"/>
                <w:szCs w:val="20"/>
              </w:rPr>
              <w:t xml:space="preserve">Tech Management</w:t>
            </w:r>
          </w:p>
        </w:tc>
        <w:tc>
          <w:tcPr>
            <w:tcW w:type="dxa" w:w="1700"/>
            <w:tcMar>
              <w:top w:type="dxa" w:w="80"/>
              <w:left w:type="dxa" w:w="120"/>
              <w:bottom w:type="dxa" w:w="80"/>
              <w:right w:type="dxa" w:w="120"/>
            </w:tcMar>
            <w:vAlign w:val="center"/>
          </w:tcPr>
          <w:p>
            <w:pPr>
              <w:spacing w:after="0"/>
            </w:pPr>
            <w:r>
              <w:rPr>
                <w:sz w:val="20"/>
                <w:szCs w:val="20"/>
              </w:rPr>
              <w:t xml:space="preserve">All domain owners</w:t>
            </w:r>
          </w:p>
        </w:tc>
        <w:tc>
          <w:tcPr>
            <w:tcW w:type="dxa" w:w="1450"/>
            <w:tcMar>
              <w:top w:type="dxa" w:w="80"/>
              <w:left w:type="dxa" w:w="120"/>
              <w:bottom w:type="dxa" w:w="80"/>
              <w:right w:type="dxa" w:w="120"/>
            </w:tcMar>
            <w:vAlign w:val="center"/>
          </w:tcPr>
          <w:p>
            <w:pPr>
              <w:spacing w:after="0"/>
            </w:pPr>
            <w:r>
              <w:rPr>
                <w:sz w:val="20"/>
                <w:szCs w:val="20"/>
              </w:rPr>
              <w:t xml:space="preserve">All teams</w:t>
            </w:r>
          </w:p>
        </w:tc>
      </w:tr>
    </w:tbl>
    <w:p>
      <w:pPr>
        <w:spacing w:after="120"/>
      </w:pPr>
    </w:p>
    <w:p>
      <w:pPr>
        <w:spacing w:after="160" w:line="276"/>
      </w:pPr>
      <w:r>
        <w:rPr>
          <w:b/>
          <w:bCs/>
          <w:color w:val="1F3864"/>
        </w:rPr>
        <w:t xml:space="preserve">New in v2.0: </w:t>
      </w:r>
      <w:r>
        <w:t xml:space="preserve">Every domain names a fallback owner in OWNERS.md. Version 1.0 assigned a single owning team per domain, which stalls contribution during reorganizations, leave, or attrition.</w:t>
      </w:r>
    </w:p>
    <w:p>
      <w:pPr>
        <w:pStyle w:val="Heading2"/>
        <w:spacing w:after="150" w:before="300"/>
      </w:pPr>
      <w:r>
        <w:t xml:space="preserve">6.2 Contribution Workflow</w:t>
      </w:r>
    </w:p>
    <w:p>
      <w:pPr>
        <w:pStyle w:val="ListParagraph"/>
        <w:numPr>
          <w:ilvl w:val="0"/>
          <w:numId w:val="1"/>
        </w:numPr>
        <w:spacing w:after="80" w:line="276"/>
      </w:pPr>
      <w:r>
        <w:t xml:space="preserve">A contributor opens a pull request touching their domain folder.</w:t>
      </w:r>
    </w:p>
    <w:p>
      <w:pPr>
        <w:pStyle w:val="ListParagraph"/>
        <w:numPr>
          <w:ilvl w:val="0"/>
          <w:numId w:val="1"/>
        </w:numPr>
        <w:spacing w:after="80" w:line="276"/>
      </w:pPr>
      <w:r>
        <w:t xml:space="preserve">The akl-validate workflow runs (Section 7). A pull request that fails validation cannot merge.</w:t>
      </w:r>
    </w:p>
    <w:p>
      <w:pPr>
        <w:pStyle w:val="ListParagraph"/>
        <w:numPr>
          <w:ilvl w:val="0"/>
          <w:numId w:val="1"/>
        </w:numPr>
        <w:spacing w:after="80" w:line="276"/>
      </w:pPr>
      <w:r>
        <w:t xml:space="preserve">CODEOWNERS requires the owning team's approval; validation-rules requires both Development and QA.</w:t>
      </w:r>
    </w:p>
    <w:p>
      <w:pPr>
        <w:pStyle w:val="ListParagraph"/>
        <w:numPr>
          <w:ilvl w:val="0"/>
          <w:numId w:val="1"/>
        </w:numPr>
        <w:spacing w:after="80" w:line="276"/>
      </w:pPr>
      <w:r>
        <w:t xml:space="preserve">On merge, akl-generate refreshes derived domains if the pull request touched migrations or the OpenAPI specification.</w:t>
      </w:r>
    </w:p>
    <w:p>
      <w:pPr>
        <w:spacing w:after="120"/>
      </w:pPr>
    </w:p>
    <w:p>
      <w:pPr>
        <w:spacing w:after="160" w:line="276"/>
      </w:pPr>
      <w:r>
        <w:t xml:space="preserve">Governance reviews only changes to _governance/ standards — never individual domain pull requests. That is what keeps the model federated rather than centralized with extra steps.</w:t>
      </w:r>
    </w:p>
    <w:p>
      <w:pPr>
        <w:pStyle w:val="Heading2"/>
        <w:spacing w:after="150" w:before="300"/>
      </w:pPr>
      <w:r>
        <w:t xml:space="preserve">6.3 Conflict Arbitration</w:t>
      </w:r>
    </w:p>
    <w:p>
      <w:pPr>
        <w:spacing w:after="160" w:line="276"/>
      </w:pPr>
      <w:r>
        <w:t xml:space="preserve">Version 1.0 deferred this as an open question. It is a launch blocker, because Development and QA co-ownership of validation-rules will deadlock within the first weeks without a defined path.</w:t>
      </w:r>
    </w:p>
    <w:p>
      <w:pPr>
        <w:spacing w:after="160" w:line="276"/>
      </w:pPr>
      <w:r>
        <w:t xml:space="preserve">Decision path: a disagreement escalates to the BA who owns the underlying business rule, because a validation-rule dispute is nearly always a disagreement about intended behavior rather than implementation. If the business rule itself is ambiguous, that ambiguity is the actual defect: the BA clarifies the rule, and the validation rule follows. If still unresolved, Technical Management decides.</w:t>
      </w:r>
    </w:p>
    <w:p>
      <w:r>
        <w:br w:type="page"/>
      </w:r>
    </w:p>
    <w:p>
      <w:pPr>
        <w:pStyle w:val="Heading1"/>
        <w:spacing w:after="200" w:before="400"/>
      </w:pPr>
      <w:r>
        <w:t xml:space="preserve">7. Enforcement: CI Validation</w:t>
      </w:r>
    </w:p>
    <w:p>
      <w:pPr>
        <w:spacing w:after="160" w:line="276"/>
      </w:pPr>
      <w:r>
        <w:rPr>
          <w:b/>
          <w:bCs/>
          <w:color w:val="1F3864"/>
        </w:rPr>
        <w:t xml:space="preserve">The gap this closes: </w:t>
      </w:r>
      <w:r>
        <w:t xml:space="preserve">Version 1.0's governance was policy without machinery. Everything below is inexpensive CI and turns stated rules into enforced ones.</w:t>
      </w:r>
    </w:p>
    <w:p>
      <w:pPr>
        <w:spacing w:after="160" w:line="276"/>
      </w:pPr>
      <w:r>
        <w:t xml:space="preserve">The akl-validate workflow fails a pull request on any of the following: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80"/>
              <w:left w:type="dxa" w:w="120"/>
              <w:bottom w:type="dxa" w:w="80"/>
              <w:right w:type="dxa" w:w="120"/>
            </w:tcMar>
            <w:vAlign w:val="center"/>
          </w:tcPr>
          <w:p>
            <w:pPr>
              <w:spacing w:after="0"/>
            </w:pPr>
            <w:r>
              <w:rPr>
                <w:b/>
                <w:bCs/>
                <w:color w:val="FFFFFF"/>
                <w:sz w:val="20"/>
                <w:szCs w:val="20"/>
              </w:rPr>
              <w:t xml:space="preserve">Check</w:t>
            </w:r>
          </w:p>
        </w:tc>
        <w:tc>
          <w:tcPr>
            <w:tcW w:type="dxa" w:w="6450"/>
            <w:shd w:fill="1F3864" w:val="clear"/>
            <w:tcMar>
              <w:top w:type="dxa" w:w="80"/>
              <w:left w:type="dxa" w:w="120"/>
              <w:bottom w:type="dxa" w:w="80"/>
              <w:right w:type="dxa" w:w="120"/>
            </w:tcMar>
            <w:vAlign w:val="center"/>
          </w:tcPr>
          <w:p>
            <w:pPr>
              <w:spacing w:after="0"/>
            </w:pPr>
            <w:r>
              <w:rPr>
                <w:b/>
                <w:bCs/>
                <w:color w:val="FFFFFF"/>
                <w:sz w:val="20"/>
                <w:szCs w:val="20"/>
              </w:rPr>
              <w:t xml:space="preserve">What it catches</w:t>
            </w:r>
          </w:p>
        </w:tc>
      </w:tr>
      <w:tr>
        <w:tc>
          <w:tcPr>
            <w:tcW w:type="dxa" w:w="2900"/>
            <w:tcMar>
              <w:top w:type="dxa" w:w="80"/>
              <w:left w:type="dxa" w:w="120"/>
              <w:bottom w:type="dxa" w:w="80"/>
              <w:right w:type="dxa" w:w="120"/>
            </w:tcMar>
            <w:vAlign w:val="center"/>
          </w:tcPr>
          <w:p>
            <w:pPr>
              <w:spacing w:after="0"/>
            </w:pPr>
            <w:r>
              <w:rPr>
                <w:sz w:val="20"/>
                <w:szCs w:val="20"/>
              </w:rPr>
              <w:t xml:space="preserve">Frontmatter schema</w:t>
            </w:r>
          </w:p>
        </w:tc>
        <w:tc>
          <w:tcPr>
            <w:tcW w:type="dxa" w:w="6450"/>
            <w:tcMar>
              <w:top w:type="dxa" w:w="80"/>
              <w:left w:type="dxa" w:w="120"/>
              <w:bottom w:type="dxa" w:w="80"/>
              <w:right w:type="dxa" w:w="120"/>
            </w:tcMar>
            <w:vAlign w:val="center"/>
          </w:tcPr>
          <w:p>
            <w:pPr>
              <w:spacing w:after="0"/>
            </w:pPr>
            <w:r>
              <w:rPr>
                <w:sz w:val="20"/>
                <w:szCs w:val="20"/>
              </w:rPr>
              <w:t xml:space="preserve">Missing or malformed id, owner_team, status, or sensitivity</w:t>
            </w:r>
          </w:p>
        </w:tc>
      </w:tr>
      <w:tr>
        <w:tc>
          <w:tcPr>
            <w:tcW w:type="dxa" w:w="2900"/>
            <w:shd w:fill="FAFAFA" w:val="clear"/>
            <w:tcMar>
              <w:top w:type="dxa" w:w="80"/>
              <w:left w:type="dxa" w:w="120"/>
              <w:bottom w:type="dxa" w:w="80"/>
              <w:right w:type="dxa" w:w="120"/>
            </w:tcMar>
            <w:vAlign w:val="center"/>
          </w:tcPr>
          <w:p>
            <w:pPr>
              <w:spacing w:after="0"/>
            </w:pPr>
            <w:r>
              <w:rPr>
                <w:sz w:val="20"/>
                <w:szCs w:val="20"/>
              </w:rPr>
              <w:t xml:space="preserve">ID uniqueness</w:t>
            </w:r>
          </w:p>
        </w:tc>
        <w:tc>
          <w:tcPr>
            <w:tcW w:type="dxa" w:w="6450"/>
            <w:shd w:fill="FAFAFA" w:val="clear"/>
            <w:tcMar>
              <w:top w:type="dxa" w:w="80"/>
              <w:left w:type="dxa" w:w="120"/>
              <w:bottom w:type="dxa" w:w="80"/>
              <w:right w:type="dxa" w:w="120"/>
            </w:tcMar>
            <w:vAlign w:val="center"/>
          </w:tcPr>
          <w:p>
            <w:pPr>
              <w:spacing w:after="0"/>
            </w:pPr>
            <w:r>
              <w:rPr>
                <w:sz w:val="20"/>
                <w:szCs w:val="20"/>
              </w:rPr>
              <w:t xml:space="preserve">Two documents claiming the same identifier (e.g. two CHKOUT-BR-042)</w:t>
            </w:r>
          </w:p>
        </w:tc>
      </w:tr>
      <w:tr>
        <w:tc>
          <w:tcPr>
            <w:tcW w:type="dxa" w:w="2900"/>
            <w:tcMar>
              <w:top w:type="dxa" w:w="80"/>
              <w:left w:type="dxa" w:w="120"/>
              <w:bottom w:type="dxa" w:w="80"/>
              <w:right w:type="dxa" w:w="120"/>
            </w:tcMar>
            <w:vAlign w:val="center"/>
          </w:tcPr>
          <w:p>
            <w:pPr>
              <w:spacing w:after="0"/>
            </w:pPr>
            <w:r>
              <w:rPr>
                <w:sz w:val="20"/>
                <w:szCs w:val="20"/>
              </w:rPr>
              <w:t xml:space="preserve">Link integrity</w:t>
            </w:r>
          </w:p>
        </w:tc>
        <w:tc>
          <w:tcPr>
            <w:tcW w:type="dxa" w:w="6450"/>
            <w:tcMar>
              <w:top w:type="dxa" w:w="80"/>
              <w:left w:type="dxa" w:w="120"/>
              <w:bottom w:type="dxa" w:w="80"/>
              <w:right w:type="dxa" w:w="120"/>
            </w:tcMar>
            <w:vAlign w:val="center"/>
          </w:tcPr>
          <w:p>
            <w:pPr>
              <w:spacing w:after="0"/>
            </w:pPr>
            <w:r>
              <w:rPr>
                <w:sz w:val="20"/>
                <w:szCs w:val="20"/>
              </w:rPr>
              <w:t xml:space="preserve">A related or superseded_by reference pointing at a deleted or nonexistent document</w:t>
            </w:r>
          </w:p>
        </w:tc>
      </w:tr>
      <w:tr>
        <w:tc>
          <w:tcPr>
            <w:tcW w:type="dxa" w:w="2900"/>
            <w:shd w:fill="FAFAFA" w:val="clear"/>
            <w:tcMar>
              <w:top w:type="dxa" w:w="80"/>
              <w:left w:type="dxa" w:w="120"/>
              <w:bottom w:type="dxa" w:w="80"/>
              <w:right w:type="dxa" w:w="120"/>
            </w:tcMar>
            <w:vAlign w:val="center"/>
          </w:tcPr>
          <w:p>
            <w:pPr>
              <w:spacing w:after="0"/>
            </w:pPr>
            <w:r>
              <w:rPr>
                <w:sz w:val="20"/>
                <w:szCs w:val="20"/>
              </w:rPr>
              <w:t xml:space="preserve">Draft leakage</w:t>
            </w:r>
          </w:p>
        </w:tc>
        <w:tc>
          <w:tcPr>
            <w:tcW w:type="dxa" w:w="6450"/>
            <w:shd w:fill="FAFAFA" w:val="clear"/>
            <w:tcMar>
              <w:top w:type="dxa" w:w="80"/>
              <w:left w:type="dxa" w:w="120"/>
              <w:bottom w:type="dxa" w:w="80"/>
              <w:right w:type="dxa" w:w="120"/>
            </w:tcMar>
            <w:vAlign w:val="center"/>
          </w:tcPr>
          <w:p>
            <w:pPr>
              <w:spacing w:after="0"/>
            </w:pPr>
            <w:r>
              <w:rPr>
                <w:sz w:val="20"/>
                <w:szCs w:val="20"/>
              </w:rPr>
              <w:t xml:space="preserve">A status: draft document referenced by an applyTo instruction file</w:t>
            </w:r>
          </w:p>
        </w:tc>
      </w:tr>
      <w:tr>
        <w:tc>
          <w:tcPr>
            <w:tcW w:type="dxa" w:w="2900"/>
            <w:tcMar>
              <w:top w:type="dxa" w:w="80"/>
              <w:left w:type="dxa" w:w="120"/>
              <w:bottom w:type="dxa" w:w="80"/>
              <w:right w:type="dxa" w:w="120"/>
            </w:tcMar>
            <w:vAlign w:val="center"/>
          </w:tcPr>
          <w:p>
            <w:pPr>
              <w:spacing w:after="0"/>
            </w:pPr>
            <w:r>
              <w:rPr>
                <w:sz w:val="20"/>
                <w:szCs w:val="20"/>
              </w:rPr>
              <w:t xml:space="preserve">Deprecation completeness</w:t>
            </w:r>
          </w:p>
        </w:tc>
        <w:tc>
          <w:tcPr>
            <w:tcW w:type="dxa" w:w="6450"/>
            <w:tcMar>
              <w:top w:type="dxa" w:w="80"/>
              <w:left w:type="dxa" w:w="120"/>
              <w:bottom w:type="dxa" w:w="80"/>
              <w:right w:type="dxa" w:w="120"/>
            </w:tcMar>
            <w:vAlign w:val="center"/>
          </w:tcPr>
          <w:p>
            <w:pPr>
              <w:spacing w:after="0"/>
            </w:pPr>
            <w:r>
              <w:rPr>
                <w:sz w:val="20"/>
                <w:szCs w:val="20"/>
              </w:rPr>
              <w:t xml:space="preserve">status: deprecated without a superseded_by value</w:t>
            </w:r>
          </w:p>
        </w:tc>
      </w:tr>
      <w:tr>
        <w:tc>
          <w:tcPr>
            <w:tcW w:type="dxa" w:w="2900"/>
            <w:shd w:fill="FAFAFA" w:val="clear"/>
            <w:tcMar>
              <w:top w:type="dxa" w:w="80"/>
              <w:left w:type="dxa" w:w="120"/>
              <w:bottom w:type="dxa" w:w="80"/>
              <w:right w:type="dxa" w:w="120"/>
            </w:tcMar>
            <w:vAlign w:val="center"/>
          </w:tcPr>
          <w:p>
            <w:pPr>
              <w:spacing w:after="0"/>
            </w:pPr>
            <w:r>
              <w:rPr>
                <w:sz w:val="20"/>
                <w:szCs w:val="20"/>
              </w:rPr>
              <w:t xml:space="preserve">Sensitivity scan</w:t>
            </w:r>
          </w:p>
        </w:tc>
        <w:tc>
          <w:tcPr>
            <w:tcW w:type="dxa" w:w="6450"/>
            <w:shd w:fill="FAFAFA" w:val="clear"/>
            <w:tcMar>
              <w:top w:type="dxa" w:w="80"/>
              <w:left w:type="dxa" w:w="120"/>
              <w:bottom w:type="dxa" w:w="80"/>
              <w:right w:type="dxa" w:w="120"/>
            </w:tcMar>
            <w:vAlign w:val="center"/>
          </w:tcPr>
          <w:p>
            <w:pPr>
              <w:spacing w:after="0"/>
            </w:pPr>
            <w:r>
              <w:rPr>
                <w:sz w:val="20"/>
                <w:szCs w:val="20"/>
              </w:rPr>
              <w:t xml:space="preserve">Credential-shaped strings, secrets, connection strings</w:t>
            </w:r>
          </w:p>
        </w:tc>
      </w:tr>
      <w:tr>
        <w:tc>
          <w:tcPr>
            <w:tcW w:type="dxa" w:w="2900"/>
            <w:tcMar>
              <w:top w:type="dxa" w:w="80"/>
              <w:left w:type="dxa" w:w="120"/>
              <w:bottom w:type="dxa" w:w="80"/>
              <w:right w:type="dxa" w:w="120"/>
            </w:tcMar>
            <w:vAlign w:val="center"/>
          </w:tcPr>
          <w:p>
            <w:pPr>
              <w:spacing w:after="0"/>
            </w:pPr>
            <w:r>
              <w:rPr>
                <w:sz w:val="20"/>
                <w:szCs w:val="20"/>
              </w:rPr>
              <w:t xml:space="preserve">Generated-block integrity</w:t>
            </w:r>
          </w:p>
        </w:tc>
        <w:tc>
          <w:tcPr>
            <w:tcW w:type="dxa" w:w="6450"/>
            <w:tcMar>
              <w:top w:type="dxa" w:w="80"/>
              <w:left w:type="dxa" w:w="120"/>
              <w:bottom w:type="dxa" w:w="80"/>
              <w:right w:type="dxa" w:w="120"/>
            </w:tcMar>
            <w:vAlign w:val="center"/>
          </w:tcPr>
          <w:p>
            <w:pPr>
              <w:spacing w:after="0"/>
            </w:pPr>
            <w:r>
              <w:rPr>
                <w:sz w:val="20"/>
                <w:szCs w:val="20"/>
              </w:rPr>
              <w:t xml:space="preserve">Hand-edits inside GENERATED markers in derived domains</w:t>
            </w:r>
          </w:p>
        </w:tc>
      </w:tr>
    </w:tbl>
    <w:p>
      <w:pPr>
        <w:spacing w:after="120"/>
      </w:pPr>
    </w:p>
    <w:p>
      <w:pPr>
        <w:spacing w:after="160" w:line="276"/>
      </w:pPr>
      <w:r>
        <w:t xml:space="preserve">Two additional checks are advisory — reported but not blocking: orphan detection surfaces an approved API contract with no business rule referencing it, or a business rule tracking no code paths. These usually indicate missing knowledge rather than errors.</w:t>
      </w:r>
    </w:p>
    <w:p>
      <w:pPr>
        <w:spacing w:after="160" w:line="276"/>
      </w:pPr>
      <w:r>
        <w:t xml:space="preserve">Without this section the AKL degrades into the same untrustworthy state as the wiki it replaces, only with a better folder structure.</w:t>
      </w:r>
    </w:p>
    <w:p>
      <w:pPr>
        <w:pStyle w:val="Heading1"/>
        <w:spacing w:after="200" w:before="400"/>
      </w:pPr>
      <w:r>
        <w:t xml:space="preserve">8. Freshness &amp; Lifecycle</w:t>
      </w:r>
    </w:p>
    <w:p>
      <w:pPr>
        <w:pStyle w:val="Heading2"/>
        <w:spacing w:after="150" w:before="300"/>
      </w:pPr>
      <w:r>
        <w:t xml:space="preserve">8.1 Document Lifecycle</w:t>
      </w:r>
    </w:p>
    <w:p>
      <w:pPr>
        <w:spacing w:after="160" w:line="276"/>
      </w:pPr>
      <w:r>
        <w:t xml:space="preserve">Documents move from draft to approved to deprecated, with deprecated documents required to name their replacement via superseded_by. Only approved documents are loaded into Copilot context — enforced by the draft-leakage check in Section 7, not left to convention as in version 1.0.</w:t>
      </w:r>
    </w:p>
    <w:p>
      <w:pPr>
        <w:pStyle w:val="Heading2"/>
        <w:spacing w:after="150" w:before="300"/>
      </w:pPr>
      <w:r>
        <w:t xml:space="preserve">8.2 Churn-Based Staleness</w:t>
      </w:r>
    </w:p>
    <w:p>
      <w:pPr>
        <w:spacing w:after="160" w:line="276"/>
      </w:pPr>
      <w:r>
        <w:t xml:space="preserve">Date-based review SLAs are gamed by bumping a date, and they produce the wrong signal: a document reviewed on schedule but describing code that has changed twice since is marked fresh.</w:t>
      </w:r>
    </w:p>
    <w:p>
      <w:pPr>
        <w:pStyle w:val="ListParagraph"/>
        <w:numPr>
          <w:ilvl w:val="0"/>
          <w:numId w:val="1"/>
        </w:numPr>
        <w:spacing w:after="80" w:line="276"/>
      </w:pPr>
      <w:r>
        <w:t xml:space="preserve">Primary mechanism: akl-staleness compares each document's last_reviewed date against the commit history of the paths in its tracks field. If code changed since the document was last reviewed, the document is flagged and an issue is opened against the owning team, naming the specific commits.</w:t>
      </w:r>
    </w:p>
    <w:p>
      <w:pPr>
        <w:pStyle w:val="ListParagraph"/>
        <w:numPr>
          <w:ilvl w:val="0"/>
          <w:numId w:val="1"/>
        </w:numPr>
        <w:spacing w:after="80" w:line="276"/>
      </w:pPr>
      <w:r>
        <w:t xml:space="preserve">Secondary mechanism: a calendar SLA per domain remains as a floor for documents with little code churn — non-functional requirements and glossary entries — where absence of change is not evidence of accuracy.</w:t>
      </w:r>
    </w:p>
    <w:p>
      <w:pPr>
        <w:pStyle w:val="ListParagraph"/>
        <w:numPr>
          <w:ilvl w:val="0"/>
          <w:numId w:val="1"/>
        </w:numPr>
        <w:spacing w:after="80" w:line="276"/>
      </w:pPr>
      <w:r>
        <w:t xml:space="preserve">Derived domains need neither: they regenerate on merge and cannot drift.</w:t>
      </w:r>
    </w:p>
    <w:p>
      <w:r>
        <w:br w:type="page"/>
      </w:r>
    </w:p>
    <w:p>
      <w:pPr>
        <w:pStyle w:val="Heading1"/>
        <w:spacing w:after="200" w:before="400"/>
      </w:pPr>
      <w:r>
        <w:t xml:space="preserve">9. AI Agent Integration</w:t>
      </w:r>
    </w:p>
    <w:p>
      <w:pPr>
        <w:pStyle w:val="Heading2"/>
        <w:spacing w:after="150" w:before="300"/>
      </w:pPr>
      <w:r>
        <w:t xml:space="preserve">9.1 Instructions vs. Skills</w:t>
      </w:r>
    </w:p>
    <w:p>
      <w:pPr>
        <w:spacing w:after="160" w:line="276"/>
      </w:pPr>
      <w:r>
        <w:t xml:space="preserve">Instructions are passive, always-injected context — what is true about this code. Skills are active procedures an agent runs to perform a task, reading the knowledge layer as their source of truth while executing.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800"/>
        <w:gridCol w:w="3800"/>
      </w:tblGrid>
      <w:tr>
        <w:trPr>
          <w:tblHeader/>
        </w:trPr>
        <w:tc>
          <w:tcPr>
            <w:tcW w:type="dxa" w:w="1750"/>
            <w:shd w:fill="1F3864" w:val="clear"/>
            <w:tcMar>
              <w:top w:type="dxa" w:w="80"/>
              <w:left w:type="dxa" w:w="120"/>
              <w:bottom w:type="dxa" w:w="80"/>
              <w:right w:type="dxa" w:w="120"/>
            </w:tcMar>
            <w:vAlign w:val="center"/>
          </w:tcPr>
          <w:p>
            <w:pPr>
              <w:spacing w:after="0"/>
            </w:pPr>
            <w:r>
              <w:rPr>
                <w:b/>
                <w:bCs/>
                <w:color w:val="FFFFFF"/>
                <w:sz w:val="20"/>
                <w:szCs w:val="20"/>
              </w:rPr>
              <w:t xml:space="preserve"/>
            </w:r>
          </w:p>
        </w:tc>
        <w:tc>
          <w:tcPr>
            <w:tcW w:type="dxa" w:w="3800"/>
            <w:shd w:fill="1F3864" w:val="clear"/>
            <w:tcMar>
              <w:top w:type="dxa" w:w="80"/>
              <w:left w:type="dxa" w:w="120"/>
              <w:bottom w:type="dxa" w:w="80"/>
              <w:right w:type="dxa" w:w="120"/>
            </w:tcMar>
            <w:vAlign w:val="center"/>
          </w:tcPr>
          <w:p>
            <w:pPr>
              <w:spacing w:after="0"/>
            </w:pPr>
            <w:r>
              <w:rPr>
                <w:b/>
                <w:bCs/>
                <w:color w:val="FFFFFF"/>
                <w:sz w:val="20"/>
                <w:szCs w:val="20"/>
              </w:rPr>
              <w:t xml:space="preserve">Instructions</w:t>
            </w:r>
          </w:p>
        </w:tc>
        <w:tc>
          <w:tcPr>
            <w:tcW w:type="dxa" w:w="3800"/>
            <w:shd w:fill="1F3864" w:val="clear"/>
            <w:tcMar>
              <w:top w:type="dxa" w:w="80"/>
              <w:left w:type="dxa" w:w="120"/>
              <w:bottom w:type="dxa" w:w="80"/>
              <w:right w:type="dxa" w:w="120"/>
            </w:tcMar>
            <w:vAlign w:val="center"/>
          </w:tcPr>
          <w:p>
            <w:pPr>
              <w:spacing w:after="0"/>
            </w:pPr>
            <w:r>
              <w:rPr>
                <w:b/>
                <w:bCs/>
                <w:color w:val="FFFFFF"/>
                <w:sz w:val="20"/>
                <w:szCs w:val="20"/>
              </w:rPr>
              <w:t xml:space="preserve">Skills</w:t>
            </w:r>
          </w:p>
        </w:tc>
      </w:tr>
      <w:tr>
        <w:tc>
          <w:tcPr>
            <w:tcW w:type="dxa" w:w="1750"/>
            <w:tcMar>
              <w:top w:type="dxa" w:w="80"/>
              <w:left w:type="dxa" w:w="120"/>
              <w:bottom w:type="dxa" w:w="80"/>
              <w:right w:type="dxa" w:w="120"/>
            </w:tcMar>
            <w:vAlign w:val="center"/>
          </w:tcPr>
          <w:p>
            <w:pPr>
              <w:spacing w:after="0"/>
            </w:pPr>
            <w:r>
              <w:rPr>
                <w:sz w:val="20"/>
                <w:szCs w:val="20"/>
              </w:rPr>
              <w:t xml:space="preserve">Purpose</w:t>
            </w:r>
          </w:p>
        </w:tc>
        <w:tc>
          <w:tcPr>
            <w:tcW w:type="dxa" w:w="3800"/>
            <w:tcMar>
              <w:top w:type="dxa" w:w="80"/>
              <w:left w:type="dxa" w:w="120"/>
              <w:bottom w:type="dxa" w:w="80"/>
              <w:right w:type="dxa" w:w="120"/>
            </w:tcMar>
            <w:vAlign w:val="center"/>
          </w:tcPr>
          <w:p>
            <w:pPr>
              <w:spacing w:after="0"/>
            </w:pPr>
            <w:r>
              <w:rPr>
                <w:sz w:val="20"/>
                <w:szCs w:val="20"/>
              </w:rPr>
              <w:t xml:space="preserve">Ambient facts (what should I know here)</w:t>
            </w:r>
          </w:p>
        </w:tc>
        <w:tc>
          <w:tcPr>
            <w:tcW w:type="dxa" w:w="3800"/>
            <w:tcMar>
              <w:top w:type="dxa" w:w="80"/>
              <w:left w:type="dxa" w:w="120"/>
              <w:bottom w:type="dxa" w:w="80"/>
              <w:right w:type="dxa" w:w="120"/>
            </w:tcMar>
            <w:vAlign w:val="center"/>
          </w:tcPr>
          <w:p>
            <w:pPr>
              <w:spacing w:after="0"/>
            </w:pPr>
            <w:r>
              <w:rPr>
                <w:sz w:val="20"/>
                <w:szCs w:val="20"/>
              </w:rPr>
              <w:t xml:space="preserve">Repeatable task (how do I do this)</w:t>
            </w:r>
          </w:p>
        </w:tc>
      </w:tr>
      <w:tr>
        <w:tc>
          <w:tcPr>
            <w:tcW w:type="dxa" w:w="1750"/>
            <w:shd w:fill="FAFAFA" w:val="clear"/>
            <w:tcMar>
              <w:top w:type="dxa" w:w="80"/>
              <w:left w:type="dxa" w:w="120"/>
              <w:bottom w:type="dxa" w:w="80"/>
              <w:right w:type="dxa" w:w="120"/>
            </w:tcMar>
            <w:vAlign w:val="center"/>
          </w:tcPr>
          <w:p>
            <w:pPr>
              <w:spacing w:after="0"/>
            </w:pPr>
            <w:r>
              <w:rPr>
                <w:sz w:val="20"/>
                <w:szCs w:val="20"/>
              </w:rPr>
              <w:t xml:space="preserve">Trigger</w:t>
            </w:r>
          </w:p>
        </w:tc>
        <w:tc>
          <w:tcPr>
            <w:tcW w:type="dxa" w:w="3800"/>
            <w:shd w:fill="FAFAFA" w:val="clear"/>
            <w:tcMar>
              <w:top w:type="dxa" w:w="80"/>
              <w:left w:type="dxa" w:w="120"/>
              <w:bottom w:type="dxa" w:w="80"/>
              <w:right w:type="dxa" w:w="120"/>
            </w:tcMar>
            <w:vAlign w:val="center"/>
          </w:tcPr>
          <w:p>
            <w:pPr>
              <w:spacing w:after="0"/>
            </w:pPr>
            <w:r>
              <w:rPr>
                <w:sz w:val="20"/>
                <w:szCs w:val="20"/>
              </w:rPr>
              <w:t xml:space="preserve">Automatic, scoped by file path</w:t>
            </w:r>
          </w:p>
        </w:tc>
        <w:tc>
          <w:tcPr>
            <w:tcW w:type="dxa" w:w="3800"/>
            <w:shd w:fill="FAFAFA" w:val="clear"/>
            <w:tcMar>
              <w:top w:type="dxa" w:w="80"/>
              <w:left w:type="dxa" w:w="120"/>
              <w:bottom w:type="dxa" w:w="80"/>
              <w:right w:type="dxa" w:w="120"/>
            </w:tcMar>
            <w:vAlign w:val="center"/>
          </w:tcPr>
          <w:p>
            <w:pPr>
              <w:spacing w:after="0"/>
            </w:pPr>
            <w:r>
              <w:rPr>
                <w:sz w:val="20"/>
                <w:szCs w:val="20"/>
              </w:rPr>
              <w:t xml:space="preserve">Explicitly invoked by the developer</w:t>
            </w:r>
          </w:p>
        </w:tc>
      </w:tr>
      <w:tr>
        <w:tc>
          <w:tcPr>
            <w:tcW w:type="dxa" w:w="1750"/>
            <w:tcMar>
              <w:top w:type="dxa" w:w="80"/>
              <w:left w:type="dxa" w:w="120"/>
              <w:bottom w:type="dxa" w:w="80"/>
              <w:right w:type="dxa" w:w="120"/>
            </w:tcMar>
            <w:vAlign w:val="center"/>
          </w:tcPr>
          <w:p>
            <w:pPr>
              <w:spacing w:after="0"/>
            </w:pPr>
            <w:r>
              <w:rPr>
                <w:sz w:val="20"/>
                <w:szCs w:val="20"/>
              </w:rPr>
              <w:t xml:space="preserve">AKL role</w:t>
            </w:r>
          </w:p>
        </w:tc>
        <w:tc>
          <w:tcPr>
            <w:tcW w:type="dxa" w:w="3800"/>
            <w:tcMar>
              <w:top w:type="dxa" w:w="80"/>
              <w:left w:type="dxa" w:w="120"/>
              <w:bottom w:type="dxa" w:w="80"/>
              <w:right w:type="dxa" w:w="120"/>
            </w:tcMar>
            <w:vAlign w:val="center"/>
          </w:tcPr>
          <w:p>
            <w:pPr>
              <w:spacing w:after="0"/>
            </w:pPr>
            <w:r>
              <w:rPr>
                <w:sz w:val="20"/>
                <w:szCs w:val="20"/>
              </w:rPr>
              <w:t xml:space="preserve">Primary consumption path for all domains</w:t>
            </w:r>
          </w:p>
        </w:tc>
        <w:tc>
          <w:tcPr>
            <w:tcW w:type="dxa" w:w="3800"/>
            <w:tcMar>
              <w:top w:type="dxa" w:w="80"/>
              <w:left w:type="dxa" w:w="120"/>
              <w:bottom w:type="dxa" w:w="80"/>
              <w:right w:type="dxa" w:w="120"/>
            </w:tcMar>
            <w:vAlign w:val="center"/>
          </w:tcPr>
          <w:p>
            <w:pPr>
              <w:spacing w:after="0"/>
            </w:pPr>
            <w:r>
              <w:rPr>
                <w:sz w:val="20"/>
                <w:szCs w:val="20"/>
              </w:rPr>
              <w:t xml:space="preserve">Reads specific AKL documents on demand mid-task</w:t>
            </w:r>
          </w:p>
        </w:tc>
      </w:tr>
    </w:tbl>
    <w:p>
      <w:pPr>
        <w:spacing w:after="120"/>
      </w:pPr>
    </w:p>
    <w:p>
      <w:pPr>
        <w:spacing w:after="160" w:line="276"/>
      </w:pPr>
      <w:r>
        <w:t xml:space="preserve">The repository-root copilot-instructions.md is a short, always-loaded index. Domain-specific instruction files are scoped with applyTo globs so they activate only when Copilot works in matching code: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applyTo: "**/refund/**,**/services/*Refund*"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Before editing this code, check CHKOUT-BR-042 and CHKOUT-API-refunds</w:t>
            </w:r>
          </w:p>
          <w:p>
            <w:pPr>
              <w:spacing w:after="0"/>
            </w:pPr>
            <w:r>
              <w:rPr>
                <w:rFonts w:ascii="Consolas" w:cs="Consolas" w:eastAsia="Consolas" w:hAnsi="Consolas"/>
                <w:sz w:val="18"/>
                <w:szCs w:val="18"/>
              </w:rPr>
              <w:t xml:space="preserve">for constraints. Do not introduce logic that contradicts an approved</w:t>
            </w:r>
          </w:p>
          <w:p>
            <w:pPr>
              <w:spacing w:after="0"/>
            </w:pPr>
            <w:r>
              <w:rPr>
                <w:rFonts w:ascii="Consolas" w:cs="Consolas" w:eastAsia="Consolas" w:hAnsi="Consolas"/>
                <w:sz w:val="18"/>
                <w:szCs w:val="18"/>
              </w:rPr>
              <w:t xml:space="preserve">business rule without flagging it.</w:t>
            </w:r>
          </w:p>
        </w:tc>
      </w:tr>
    </w:tbl>
    <w:p>
      <w:pPr>
        <w:spacing w:after="120"/>
      </w:pPr>
    </w:p>
    <w:p>
      <w:pPr>
        <w:spacing w:after="160" w:line="276"/>
      </w:pPr>
      <w:r>
        <w:t xml:space="preserve">Scoping matters because Copilot's context budget is finite: a single monolithic instructions file either truncates or drowns out the specific fact relevant to the file actually being edited.</w:t>
      </w:r>
    </w:p>
    <w:p>
      <w:pPr>
        <w:pStyle w:val="Heading2"/>
        <w:spacing w:after="150" w:before="300"/>
      </w:pPr>
      <w:r>
        <w:t xml:space="preserve">9.2 Read Order for Skills</w:t>
      </w:r>
    </w:p>
    <w:p>
      <w:pPr>
        <w:spacing w:after="160" w:line="276"/>
      </w:pPr>
      <w:r>
        <w:t xml:space="preserve">A skill reads domains in dependency order so contradictions surface before code is generated rather than after:</w:t>
      </w:r>
    </w:p>
    <w:p>
      <w:pPr>
        <w:pStyle w:val="ListParagraph"/>
        <w:numPr>
          <w:ilvl w:val="0"/>
          <w:numId w:val="1"/>
        </w:numPr>
        <w:spacing w:after="80" w:line="276"/>
      </w:pPr>
      <w:r>
        <w:t xml:space="preserve">1. db-schema — the hard constraint.</w:t>
      </w:r>
    </w:p>
    <w:p>
      <w:pPr>
        <w:pStyle w:val="ListParagraph"/>
        <w:numPr>
          <w:ilvl w:val="0"/>
          <w:numId w:val="1"/>
        </w:numPr>
        <w:spacing w:after="80" w:line="276"/>
      </w:pPr>
      <w:r>
        <w:t xml:space="preserve">2. api-contracts — the interface.</w:t>
      </w:r>
    </w:p>
    <w:p>
      <w:pPr>
        <w:pStyle w:val="ListParagraph"/>
        <w:numPr>
          <w:ilvl w:val="0"/>
          <w:numId w:val="1"/>
        </w:numPr>
        <w:spacing w:after="80" w:line="276"/>
      </w:pPr>
      <w:r>
        <w:t xml:space="preserve">3. validation-rules and business-rules — the logic.</w:t>
      </w:r>
    </w:p>
    <w:p>
      <w:pPr>
        <w:pStyle w:val="ListParagraph"/>
        <w:numPr>
          <w:ilvl w:val="0"/>
          <w:numId w:val="1"/>
        </w:numPr>
        <w:spacing w:after="80" w:line="276"/>
      </w:pPr>
      <w:r>
        <w:t xml:space="preserve">4. non-functional — the budgets the implementation must not breach.</w:t>
      </w:r>
    </w:p>
    <w:p>
      <w:pPr>
        <w:spacing w:after="120"/>
      </w:pPr>
    </w:p>
    <w:p>
      <w:pPr>
        <w:pStyle w:val="Heading2"/>
        <w:spacing w:after="150" w:before="300"/>
      </w:pPr>
      <w:r>
        <w:t xml:space="preserve">9.3 Precedence and Contradiction Handling</w:t>
      </w:r>
    </w:p>
    <w:p>
      <w:pPr>
        <w:spacing w:after="160" w:line="276"/>
      </w:pPr>
      <w:r>
        <w:t xml:space="preserve">“Report the contradiction” is not specific enough to implement. Without a defined precedence order, each developer gets different agent behaviour, and the Section 11 metric “contradictions introduced” becomes unmeasurable.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50"/>
      </w:tblGrid>
      <w:tr>
        <w:trPr>
          <w:tblHeader/>
        </w:trPr>
        <w:tc>
          <w:tcPr>
            <w:tcW w:type="dxa" w:w="900"/>
            <w:shd w:fill="1F3864" w:val="clear"/>
            <w:tcMar>
              <w:top w:type="dxa" w:w="80"/>
              <w:left w:type="dxa" w:w="120"/>
              <w:bottom w:type="dxa" w:w="80"/>
              <w:right w:type="dxa" w:w="120"/>
            </w:tcMar>
            <w:vAlign w:val="center"/>
          </w:tcPr>
          <w:p>
            <w:pPr>
              <w:spacing w:after="0"/>
            </w:pPr>
            <w:r>
              <w:rPr>
                <w:b/>
                <w:bCs/>
                <w:color w:val="FFFFFF"/>
                <w:sz w:val="20"/>
                <w:szCs w:val="20"/>
              </w:rPr>
              <w:t xml:space="preserve">Rank</w:t>
            </w:r>
          </w:p>
        </w:tc>
        <w:tc>
          <w:tcPr>
            <w:tcW w:type="dxa" w:w="2700"/>
            <w:shd w:fill="1F3864" w:val="clear"/>
            <w:tcMar>
              <w:top w:type="dxa" w:w="80"/>
              <w:left w:type="dxa" w:w="120"/>
              <w:bottom w:type="dxa" w:w="80"/>
              <w:right w:type="dxa" w:w="120"/>
            </w:tcMar>
            <w:vAlign w:val="center"/>
          </w:tcPr>
          <w:p>
            <w:pPr>
              <w:spacing w:after="0"/>
            </w:pPr>
            <w:r>
              <w:rPr>
                <w:b/>
                <w:bCs/>
                <w:color w:val="FFFFFF"/>
                <w:sz w:val="20"/>
                <w:szCs w:val="20"/>
              </w:rPr>
              <w:t xml:space="preserve">Source</w:t>
            </w:r>
          </w:p>
        </w:tc>
        <w:tc>
          <w:tcPr>
            <w:tcW w:type="dxa" w:w="5750"/>
            <w:shd w:fill="1F3864" w:val="clear"/>
            <w:tcMar>
              <w:top w:type="dxa" w:w="80"/>
              <w:left w:type="dxa" w:w="120"/>
              <w:bottom w:type="dxa" w:w="80"/>
              <w:right w:type="dxa" w:w="120"/>
            </w:tcMar>
            <w:vAlign w:val="center"/>
          </w:tcPr>
          <w:p>
            <w:pPr>
              <w:spacing w:after="0"/>
            </w:pPr>
            <w:r>
              <w:rPr>
                <w:b/>
                <w:bCs/>
                <w:color w:val="FFFFFF"/>
                <w:sz w:val="20"/>
                <w:szCs w:val="20"/>
              </w:rPr>
              <w:t xml:space="preserve">On conflict</w:t>
            </w:r>
          </w:p>
        </w:tc>
      </w:tr>
      <w:tr>
        <w:tc>
          <w:tcPr>
            <w:tcW w:type="dxa" w:w="900"/>
            <w:tcMar>
              <w:top w:type="dxa" w:w="80"/>
              <w:left w:type="dxa" w:w="120"/>
              <w:bottom w:type="dxa" w:w="80"/>
              <w:right w:type="dxa" w:w="120"/>
            </w:tcMar>
            <w:vAlign w:val="center"/>
          </w:tcPr>
          <w:p>
            <w:pPr>
              <w:spacing w:after="0"/>
            </w:pPr>
            <w:r>
              <w:rPr>
                <w:sz w:val="20"/>
                <w:szCs w:val="20"/>
              </w:rPr>
              <w:t xml:space="preserve">1</w:t>
            </w:r>
          </w:p>
        </w:tc>
        <w:tc>
          <w:tcPr>
            <w:tcW w:type="dxa" w:w="2700"/>
            <w:tcMar>
              <w:top w:type="dxa" w:w="80"/>
              <w:left w:type="dxa" w:w="120"/>
              <w:bottom w:type="dxa" w:w="80"/>
              <w:right w:type="dxa" w:w="120"/>
            </w:tcMar>
            <w:vAlign w:val="center"/>
          </w:tcPr>
          <w:p>
            <w:pPr>
              <w:spacing w:after="0"/>
            </w:pPr>
            <w:r>
              <w:rPr>
                <w:sz w:val="20"/>
                <w:szCs w:val="20"/>
              </w:rPr>
              <w:t xml:space="preserve">db-schema, non-functional</w:t>
            </w:r>
          </w:p>
        </w:tc>
        <w:tc>
          <w:tcPr>
            <w:tcW w:type="dxa" w:w="5750"/>
            <w:tcMar>
              <w:top w:type="dxa" w:w="80"/>
              <w:left w:type="dxa" w:w="120"/>
              <w:bottom w:type="dxa" w:w="80"/>
              <w:right w:type="dxa" w:w="120"/>
            </w:tcMar>
            <w:vAlign w:val="center"/>
          </w:tcPr>
          <w:p>
            <w:pPr>
              <w:spacing w:after="0"/>
            </w:pPr>
            <w:r>
              <w:rPr>
                <w:sz w:val="20"/>
                <w:szCs w:val="20"/>
              </w:rPr>
              <w:t xml:space="preserve">Halt. Hard constraints — a generation that breaches the schema or a stated SLA is never correct.</w:t>
            </w:r>
          </w:p>
        </w:tc>
      </w:tr>
      <w:tr>
        <w:tc>
          <w:tcPr>
            <w:tcW w:type="dxa" w:w="900"/>
            <w:shd w:fill="FAFAFA" w:val="clear"/>
            <w:tcMar>
              <w:top w:type="dxa" w:w="80"/>
              <w:left w:type="dxa" w:w="120"/>
              <w:bottom w:type="dxa" w:w="80"/>
              <w:right w:type="dxa" w:w="120"/>
            </w:tcMar>
            <w:vAlign w:val="center"/>
          </w:tcPr>
          <w:p>
            <w:pPr>
              <w:spacing w:after="0"/>
            </w:pPr>
            <w:r>
              <w:rPr>
                <w:sz w:val="20"/>
                <w:szCs w:val="20"/>
              </w:rPr>
              <w:t xml:space="preserve">2</w:t>
            </w:r>
          </w:p>
        </w:tc>
        <w:tc>
          <w:tcPr>
            <w:tcW w:type="dxa" w:w="2700"/>
            <w:shd w:fill="FAFAFA" w:val="clear"/>
            <w:tcMar>
              <w:top w:type="dxa" w:w="80"/>
              <w:left w:type="dxa" w:w="120"/>
              <w:bottom w:type="dxa" w:w="80"/>
              <w:right w:type="dxa" w:w="120"/>
            </w:tcMar>
            <w:vAlign w:val="center"/>
          </w:tcPr>
          <w:p>
            <w:pPr>
              <w:spacing w:after="0"/>
            </w:pPr>
            <w:r>
              <w:rPr>
                <w:sz w:val="20"/>
                <w:szCs w:val="20"/>
              </w:rPr>
              <w:t xml:space="preserve">business-rules</w:t>
            </w:r>
          </w:p>
        </w:tc>
        <w:tc>
          <w:tcPr>
            <w:tcW w:type="dxa" w:w="5750"/>
            <w:shd w:fill="FAFAFA" w:val="clear"/>
            <w:tcMar>
              <w:top w:type="dxa" w:w="80"/>
              <w:left w:type="dxa" w:w="120"/>
              <w:bottom w:type="dxa" w:w="80"/>
              <w:right w:type="dxa" w:w="120"/>
            </w:tcMar>
            <w:vAlign w:val="center"/>
          </w:tcPr>
          <w:p>
            <w:pPr>
              <w:spacing w:after="0"/>
            </w:pPr>
            <w:r>
              <w:rPr>
                <w:sz w:val="20"/>
                <w:szCs w:val="20"/>
              </w:rPr>
              <w:t xml:space="preserve">Halt. Authoritative over contracts: if a contract permits what a rule forbids, the contract is the defect.</w:t>
            </w:r>
          </w:p>
        </w:tc>
      </w:tr>
      <w:tr>
        <w:tc>
          <w:tcPr>
            <w:tcW w:type="dxa" w:w="900"/>
            <w:tcMar>
              <w:top w:type="dxa" w:w="80"/>
              <w:left w:type="dxa" w:w="120"/>
              <w:bottom w:type="dxa" w:w="80"/>
              <w:right w:type="dxa" w:w="120"/>
            </w:tcMar>
            <w:vAlign w:val="center"/>
          </w:tcPr>
          <w:p>
            <w:pPr>
              <w:spacing w:after="0"/>
            </w:pPr>
            <w:r>
              <w:rPr>
                <w:sz w:val="20"/>
                <w:szCs w:val="20"/>
              </w:rPr>
              <w:t xml:space="preserve">3</w:t>
            </w:r>
          </w:p>
        </w:tc>
        <w:tc>
          <w:tcPr>
            <w:tcW w:type="dxa" w:w="2700"/>
            <w:tcMar>
              <w:top w:type="dxa" w:w="80"/>
              <w:left w:type="dxa" w:w="120"/>
              <w:bottom w:type="dxa" w:w="80"/>
              <w:right w:type="dxa" w:w="120"/>
            </w:tcMar>
            <w:vAlign w:val="center"/>
          </w:tcPr>
          <w:p>
            <w:pPr>
              <w:spacing w:after="0"/>
            </w:pPr>
            <w:r>
              <w:rPr>
                <w:sz w:val="20"/>
                <w:szCs w:val="20"/>
              </w:rPr>
              <w:t xml:space="preserve">api-contracts, validation-rules</w:t>
            </w:r>
          </w:p>
        </w:tc>
        <w:tc>
          <w:tcPr>
            <w:tcW w:type="dxa" w:w="5750"/>
            <w:tcMar>
              <w:top w:type="dxa" w:w="80"/>
              <w:left w:type="dxa" w:w="120"/>
              <w:bottom w:type="dxa" w:w="80"/>
              <w:right w:type="dxa" w:w="120"/>
            </w:tcMar>
            <w:vAlign w:val="center"/>
          </w:tcPr>
          <w:p>
            <w:pPr>
              <w:spacing w:after="0"/>
            </w:pPr>
            <w:r>
              <w:rPr>
                <w:sz w:val="20"/>
                <w:szCs w:val="20"/>
              </w:rPr>
              <w:t xml:space="preserve">Flag and halt if mutually inconsistent; the owning teams resolve via Section 6.3.</w:t>
            </w:r>
          </w:p>
        </w:tc>
      </w:tr>
      <w:tr>
        <w:tc>
          <w:tcPr>
            <w:tcW w:type="dxa" w:w="900"/>
            <w:shd w:fill="FAFAFA" w:val="clear"/>
            <w:tcMar>
              <w:top w:type="dxa" w:w="80"/>
              <w:left w:type="dxa" w:w="120"/>
              <w:bottom w:type="dxa" w:w="80"/>
              <w:right w:type="dxa" w:w="120"/>
            </w:tcMar>
            <w:vAlign w:val="center"/>
          </w:tcPr>
          <w:p>
            <w:pPr>
              <w:spacing w:after="0"/>
            </w:pPr>
            <w:r>
              <w:rPr>
                <w:sz w:val="20"/>
                <w:szCs w:val="20"/>
              </w:rPr>
              <w:t xml:space="preserve">4</w:t>
            </w:r>
          </w:p>
        </w:tc>
        <w:tc>
          <w:tcPr>
            <w:tcW w:type="dxa" w:w="2700"/>
            <w:shd w:fill="FAFAFA" w:val="clear"/>
            <w:tcMar>
              <w:top w:type="dxa" w:w="80"/>
              <w:left w:type="dxa" w:w="120"/>
              <w:bottom w:type="dxa" w:w="80"/>
              <w:right w:type="dxa" w:w="120"/>
            </w:tcMar>
            <w:vAlign w:val="center"/>
          </w:tcPr>
          <w:p>
            <w:pPr>
              <w:spacing w:after="0"/>
            </w:pPr>
            <w:r>
              <w:rPr>
                <w:sz w:val="20"/>
                <w:szCs w:val="20"/>
              </w:rPr>
              <w:t xml:space="preserve">Patterns inferred from existing code</w:t>
            </w:r>
          </w:p>
        </w:tc>
        <w:tc>
          <w:tcPr>
            <w:tcW w:type="dxa" w:w="5750"/>
            <w:shd w:fill="FAFAFA" w:val="clear"/>
            <w:tcMar>
              <w:top w:type="dxa" w:w="80"/>
              <w:left w:type="dxa" w:w="120"/>
              <w:bottom w:type="dxa" w:w="80"/>
              <w:right w:type="dxa" w:w="120"/>
            </w:tcMar>
            <w:vAlign w:val="center"/>
          </w:tcPr>
          <w:p>
            <w:pPr>
              <w:spacing w:after="0"/>
            </w:pPr>
            <w:r>
              <w:rPr>
                <w:sz w:val="20"/>
                <w:szCs w:val="20"/>
              </w:rPr>
              <w:t xml:space="preserve">Warn and proceed. Code is evidence, not authority — an anti-patterns entry may explain the divergence.</w:t>
            </w:r>
          </w:p>
        </w:tc>
      </w:tr>
    </w:tbl>
    <w:p>
      <w:pPr>
        <w:spacing w:after="120"/>
      </w:pPr>
    </w:p>
    <w:p>
      <w:pPr>
        <w:spacing w:after="160" w:line="276"/>
      </w:pPr>
      <w:r>
        <w:t xml:space="preserve">Halt means: do not generate; state which two documents conflict, by identifier; and stop. Silent resolution is prohibited — an agent picking a winner hides precisely the defect the layer exists to surface.</w:t>
      </w:r>
    </w:p>
    <w:p>
      <w:pPr>
        <w:pStyle w:val="Heading2"/>
        <w:spacing w:after="150" w:before="300"/>
      </w:pPr>
      <w:r>
        <w:t xml:space="preserve">9.4 Agent Write-Back: Closing Knowledge Gaps</w:t>
      </w:r>
    </w:p>
    <w:p>
      <w:pPr>
        <w:spacing w:after="160" w:line="276"/>
      </w:pPr>
      <w:r>
        <w:t xml:space="preserve">The layer is otherwise read-only from an agent's perspective, which means an agent encountering undocumented behaviour — constant in early adoption — leaves no trace, and the gap stays invisible.</w:t>
      </w:r>
    </w:p>
    <w:p>
      <w:pPr>
        <w:spacing w:after="160" w:line="276"/>
      </w:pPr>
      <w:r>
        <w:t xml:space="preserve">A propose-knowledge-doc skill opens a pull request containing a status: draft document with authored_by: agent in its frontmatter. The owning team reviews it through the normal Section 6.2 flow. Nothing an agent proposes reaches approved without human review, and drafts are already excluded from Copilot context, so there is no self-reinforcement risk. This turns every agent session into a coverage-gap detector at negligible cost.</w:t>
      </w:r>
    </w:p>
    <w:p>
      <w:pPr>
        <w:pStyle w:val="Heading2"/>
        <w:spacing w:after="150" w:before="300"/>
      </w:pPr>
      <w:r>
        <w:t xml:space="preserve">9.5 Context Budget</w:t>
      </w:r>
    </w:p>
    <w:p>
      <w:pPr>
        <w:spacing w:after="160" w:line="276"/>
      </w:pPr>
      <w:r>
        <w:rPr>
          <w:b/>
          <w:bCs/>
          <w:color w:val="1F3864"/>
        </w:rPr>
        <w:t xml:space="preserve">Unverified until Phase 5, and load-bearing: </w:t>
      </w:r>
      <w:r>
        <w:t xml:space="preserve">If editing one service pulls four documents, the design works. If the related graph pulls forty, the layer truncates in practice while appearing correct on paper.</w:t>
      </w:r>
    </w:p>
    <w:p>
      <w:pPr>
        <w:pStyle w:val="ListParagraph"/>
        <w:numPr>
          <w:ilvl w:val="0"/>
          <w:numId w:val="1"/>
        </w:numPr>
        <w:spacing w:after="80" w:line="276"/>
      </w:pPr>
      <w:r>
        <w:t xml:space="preserve">Measure actual token consumption for scoped retrieval on real pilot files.</w:t>
      </w:r>
    </w:p>
    <w:p>
      <w:pPr>
        <w:pStyle w:val="ListParagraph"/>
        <w:numPr>
          <w:ilvl w:val="0"/>
          <w:numId w:val="1"/>
        </w:numPr>
        <w:spacing w:after="80" w:line="276"/>
      </w:pPr>
      <w:r>
        <w:t xml:space="preserve">Target ceiling: approximately 15 percent of the available context budget for AKL content.</w:t>
      </w:r>
    </w:p>
    <w:p>
      <w:pPr>
        <w:pStyle w:val="ListParagraph"/>
        <w:numPr>
          <w:ilvl w:val="0"/>
          <w:numId w:val="1"/>
        </w:numPr>
        <w:spacing w:after="80" w:line="276"/>
      </w:pPr>
      <w:r>
        <w:t xml:space="preserve">Cap related-link traversal at depth 1 by default; a skill may follow further only when it names the specific document it needs.</w:t>
      </w:r>
    </w:p>
    <w:p>
      <w:pPr>
        <w:pStyle w:val="ListParagraph"/>
        <w:numPr>
          <w:ilvl w:val="0"/>
          <w:numId w:val="1"/>
        </w:numPr>
        <w:spacing w:after="80" w:line="276"/>
      </w:pPr>
      <w:r>
        <w:t xml:space="preserve">If measurement exceeds the ceiling, the remedy is narrower applyTo globs and smaller documents — not a larger budget.</w:t>
      </w:r>
    </w:p>
    <w:p>
      <w:pPr>
        <w:pStyle w:val="Heading2"/>
        <w:spacing w:after="150" w:before="300"/>
      </w:pPr>
      <w:r>
        <w:t xml:space="preserve">9.6 Instruction-File Maintenance at Scale</w:t>
      </w:r>
    </w:p>
    <w:p>
      <w:pPr>
        <w:spacing w:after="160" w:line="276"/>
      </w:pPr>
      <w:r>
        <w:t xml:space="preserve">applyTo globs are themselves a maintenance burden, because they silently stop matching after a refactor. Two mitigations apply: derive globs from the tracks field rather than hand-writing them, so there is a single source and one place to update; and treat glob drift as a validation check, failing CI when a glob matches zero files.</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10. Security &amp; Compliance</w:t>
      </w:r>
    </w:p>
    <w:p>
      <w:pPr>
        <w:spacing w:after="160" w:line="276"/>
      </w:pPr>
      <w:r>
        <w:rPr>
          <w:b/>
          <w:bCs/>
          <w:color w:val="1F3864"/>
        </w:rPr>
        <w:t xml:space="preserve">The gap this closes: </w:t>
      </w:r>
      <w:r>
        <w:t xml:space="preserve">Version 1.0 had no position here. This is the question most likely to stall sponsor approval if left unanswered. A knowledge layer describing authentication flows, PII fields, and rate limits is a useful artifact for an attacker, and it is loaded into an AI tool's context by default.</w:t>
      </w:r>
    </w:p>
    <w:p>
      <w:pPr>
        <w:spacing w:after="160" w:line="276"/>
      </w:pPr>
      <w:r>
        <w:t xml:space="preserve">_governance/SECURITY.md states the following:</w:t>
      </w:r>
    </w:p>
    <w:p>
      <w:pPr>
        <w:pStyle w:val="ListParagraph"/>
        <w:numPr>
          <w:ilvl w:val="0"/>
          <w:numId w:val="1"/>
        </w:numPr>
        <w:spacing w:after="80" w:line="276"/>
      </w:pPr>
      <w:r>
        <w:t xml:space="preserve">Never in the AKL: credentials, secrets, connection strings, keys, threat models, unpatched vulnerability detail, and security control implementation specifics.</w:t>
      </w:r>
    </w:p>
    <w:p>
      <w:pPr>
        <w:pStyle w:val="ListParagraph"/>
        <w:numPr>
          <w:ilvl w:val="0"/>
          <w:numId w:val="1"/>
        </w:numPr>
        <w:spacing w:after="80" w:line="276"/>
      </w:pPr>
      <w:r>
        <w:t xml:space="preserve">Classification mapping: sensitivity values map to the existing corporate data-classification scheme rather than introducing a parallel taxonomy. Confirm the mapping with InfoSec in Phase 0 and record it in SECURITY.md; the values used here are placeholders until that mapping is agreed.</w:t>
      </w:r>
    </w:p>
    <w:p>
      <w:pPr>
        <w:pStyle w:val="ListParagraph"/>
        <w:numPr>
          <w:ilvl w:val="0"/>
          <w:numId w:val="1"/>
        </w:numPr>
        <w:spacing w:after="80" w:line="276"/>
      </w:pPr>
      <w:r>
        <w:t xml:space="preserve">Permitted with sensitivity: restricted — PII field identification (that a column holds PII, so agents handle it correctly) without sample data; and authentication requirements per endpoint without implementation detail.</w:t>
      </w:r>
    </w:p>
    <w:p>
      <w:pPr>
        <w:pStyle w:val="ListParagraph"/>
        <w:numPr>
          <w:ilvl w:val="0"/>
          <w:numId w:val="1"/>
        </w:numPr>
        <w:spacing w:after="80" w:line="276"/>
      </w:pPr>
      <w:r>
        <w:t xml:space="preserve">Enforcement: the sensitivity scan in Section 7 blocks credential-shaped content. Documents marked restricted are excluded from Copilot context by default and require explicit opt-in per instruction file.</w:t>
      </w:r>
    </w:p>
    <w:p>
      <w:pPr>
        <w:spacing w:after="120"/>
      </w:pPr>
    </w:p>
    <w:p>
      <w:pPr>
        <w:spacing w:after="160" w:line="276"/>
      </w:pPr>
      <w:r>
        <w:rPr>
          <w:b/>
          <w:bCs/>
          <w:color w:val="1F3864"/>
        </w:rPr>
        <w:t xml:space="preserve">Data residency: </w:t>
      </w:r>
      <w:r>
        <w:t xml:space="preserve">Confirm with the security team whether AKL content leaving our tenancy via Copilot is cleared under existing agreements, and record the answer in SECURITY.md. "It is just Markdown in our repository" does not answer that question — the content is transmitted as model context.</w:t>
      </w:r>
    </w:p>
    <w:p>
      <w:pPr>
        <w:pStyle w:val="Heading1"/>
        <w:spacing w:after="200" w:before="400"/>
      </w:pPr>
      <w:r>
        <w:t xml:space="preserve">11. Measuring Whether This Works</w:t>
      </w:r>
    </w:p>
    <w:p>
      <w:pPr>
        <w:spacing w:after="160" w:line="276"/>
      </w:pPr>
      <w:r>
        <w:t xml:space="preserve">Version 1.0 had no feedback loop. The entire value proposition is that agents produce better output when grounded in the AKL, and nothing measured whether that held. The evaluation is defined before the pilot so the pilot produces evidence rather than opinion.</w:t>
      </w:r>
    </w:p>
    <w:p>
      <w:pPr>
        <w:spacing w:after="160" w:line="276"/>
      </w:pPr>
      <w:r>
        <w:t xml:space="preserve">Method: a fixed set of approximately twenty representative development tasks in the pilot area, run both with and without AKL context loaded.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20"/>
              <w:bottom w:type="dxa" w:w="80"/>
              <w:right w:type="dxa" w:w="120"/>
            </w:tcMar>
            <w:vAlign w:val="center"/>
          </w:tcPr>
          <w:p>
            <w:pPr>
              <w:spacing w:after="0"/>
            </w:pPr>
            <w:r>
              <w:rPr>
                <w:b/>
                <w:bCs/>
                <w:color w:val="FFFFFF"/>
                <w:sz w:val="20"/>
                <w:szCs w:val="20"/>
              </w:rPr>
              <w:t xml:space="preserve">Metric</w:t>
            </w:r>
          </w:p>
        </w:tc>
        <w:tc>
          <w:tcPr>
            <w:tcW w:type="dxa" w:w="5150"/>
            <w:shd w:fill="1F3864" w:val="clear"/>
            <w:tcMar>
              <w:top w:type="dxa" w:w="80"/>
              <w:left w:type="dxa" w:w="120"/>
              <w:bottom w:type="dxa" w:w="80"/>
              <w:right w:type="dxa" w:w="120"/>
            </w:tcMar>
            <w:vAlign w:val="center"/>
          </w:tcPr>
          <w:p>
            <w:pPr>
              <w:spacing w:after="0"/>
            </w:pPr>
            <w:r>
              <w:rPr>
                <w:b/>
                <w:bCs/>
                <w:color w:val="FFFFFF"/>
                <w:sz w:val="20"/>
                <w:szCs w:val="20"/>
              </w:rPr>
              <w:t xml:space="preserve">What it measures</w:t>
            </w:r>
          </w:p>
        </w:tc>
      </w:tr>
      <w:tr>
        <w:tc>
          <w:tcPr>
            <w:tcW w:type="dxa" w:w="4200"/>
            <w:tcMar>
              <w:top w:type="dxa" w:w="80"/>
              <w:left w:type="dxa" w:w="120"/>
              <w:bottom w:type="dxa" w:w="80"/>
              <w:right w:type="dxa" w:w="120"/>
            </w:tcMar>
            <w:vAlign w:val="center"/>
          </w:tcPr>
          <w:p>
            <w:pPr>
              <w:spacing w:after="0"/>
            </w:pPr>
            <w:r>
              <w:rPr>
                <w:sz w:val="20"/>
                <w:szCs w:val="20"/>
              </w:rPr>
              <w:t xml:space="preserve">Contradictions introduced per task</w:t>
            </w:r>
          </w:p>
        </w:tc>
        <w:tc>
          <w:tcPr>
            <w:tcW w:type="dxa" w:w="5150"/>
            <w:tcMar>
              <w:top w:type="dxa" w:w="80"/>
              <w:left w:type="dxa" w:w="120"/>
              <w:bottom w:type="dxa" w:w="80"/>
              <w:right w:type="dxa" w:w="120"/>
            </w:tcMar>
            <w:vAlign w:val="center"/>
          </w:tcPr>
          <w:p>
            <w:pPr>
              <w:spacing w:after="0"/>
            </w:pPr>
            <w:r>
              <w:rPr>
                <w:sz w:val="20"/>
                <w:szCs w:val="20"/>
              </w:rPr>
              <w:t xml:space="preserve">Whether grounding prevents rule violations</w:t>
            </w:r>
          </w:p>
        </w:tc>
      </w:tr>
      <w:tr>
        <w:tc>
          <w:tcPr>
            <w:tcW w:type="dxa" w:w="4200"/>
            <w:shd w:fill="FAFAFA" w:val="clear"/>
            <w:tcMar>
              <w:top w:type="dxa" w:w="80"/>
              <w:left w:type="dxa" w:w="120"/>
              <w:bottom w:type="dxa" w:w="80"/>
              <w:right w:type="dxa" w:w="120"/>
            </w:tcMar>
            <w:vAlign w:val="center"/>
          </w:tcPr>
          <w:p>
            <w:pPr>
              <w:spacing w:after="0"/>
            </w:pPr>
            <w:r>
              <w:rPr>
                <w:sz w:val="20"/>
                <w:szCs w:val="20"/>
              </w:rPr>
              <w:t xml:space="preserve">Review comments correcting factual errors</w:t>
            </w:r>
          </w:p>
        </w:tc>
        <w:tc>
          <w:tcPr>
            <w:tcW w:type="dxa" w:w="5150"/>
            <w:shd w:fill="FAFAFA" w:val="clear"/>
            <w:tcMar>
              <w:top w:type="dxa" w:w="80"/>
              <w:left w:type="dxa" w:w="120"/>
              <w:bottom w:type="dxa" w:w="80"/>
              <w:right w:type="dxa" w:w="120"/>
            </w:tcMar>
            <w:vAlign w:val="center"/>
          </w:tcPr>
          <w:p>
            <w:pPr>
              <w:spacing w:after="0"/>
            </w:pPr>
            <w:r>
              <w:rPr>
                <w:sz w:val="20"/>
                <w:szCs w:val="20"/>
              </w:rPr>
              <w:t xml:space="preserve">Rework avoided</w:t>
            </w:r>
          </w:p>
        </w:tc>
      </w:tr>
      <w:tr>
        <w:tc>
          <w:tcPr>
            <w:tcW w:type="dxa" w:w="4200"/>
            <w:tcMar>
              <w:top w:type="dxa" w:w="80"/>
              <w:left w:type="dxa" w:w="120"/>
              <w:bottom w:type="dxa" w:w="80"/>
              <w:right w:type="dxa" w:w="120"/>
            </w:tcMar>
            <w:vAlign w:val="center"/>
          </w:tcPr>
          <w:p>
            <w:pPr>
              <w:spacing w:after="0"/>
            </w:pPr>
            <w:r>
              <w:rPr>
                <w:sz w:val="20"/>
                <w:szCs w:val="20"/>
              </w:rPr>
              <w:t xml:space="preserve">Contract or schema mismatches caught pre-merge</w:t>
            </w:r>
          </w:p>
        </w:tc>
        <w:tc>
          <w:tcPr>
            <w:tcW w:type="dxa" w:w="5150"/>
            <w:tcMar>
              <w:top w:type="dxa" w:w="80"/>
              <w:left w:type="dxa" w:w="120"/>
              <w:bottom w:type="dxa" w:w="80"/>
              <w:right w:type="dxa" w:w="120"/>
            </w:tcMar>
            <w:vAlign w:val="center"/>
          </w:tcPr>
          <w:p>
            <w:pPr>
              <w:spacing w:after="0"/>
            </w:pPr>
            <w:r>
              <w:rPr>
                <w:sz w:val="20"/>
                <w:szCs w:val="20"/>
              </w:rPr>
              <w:t xml:space="preserve">Shift-left effect</w:t>
            </w:r>
          </w:p>
        </w:tc>
      </w:tr>
      <w:tr>
        <w:tc>
          <w:tcPr>
            <w:tcW w:type="dxa" w:w="4200"/>
            <w:shd w:fill="FAFAFA" w:val="clear"/>
            <w:tcMar>
              <w:top w:type="dxa" w:w="80"/>
              <w:left w:type="dxa" w:w="120"/>
              <w:bottom w:type="dxa" w:w="80"/>
              <w:right w:type="dxa" w:w="120"/>
            </w:tcMar>
            <w:vAlign w:val="center"/>
          </w:tcPr>
          <w:p>
            <w:pPr>
              <w:spacing w:after="0"/>
            </w:pPr>
            <w:r>
              <w:rPr>
                <w:sz w:val="20"/>
                <w:szCs w:val="20"/>
              </w:rPr>
              <w:t xml:space="preserve">Time to first correct implementation</w:t>
            </w:r>
          </w:p>
        </w:tc>
        <w:tc>
          <w:tcPr>
            <w:tcW w:type="dxa" w:w="5150"/>
            <w:shd w:fill="FAFAFA" w:val="clear"/>
            <w:tcMar>
              <w:top w:type="dxa" w:w="80"/>
              <w:left w:type="dxa" w:w="120"/>
              <w:bottom w:type="dxa" w:w="80"/>
              <w:right w:type="dxa" w:w="120"/>
            </w:tcMar>
            <w:vAlign w:val="center"/>
          </w:tcPr>
          <w:p>
            <w:pPr>
              <w:spacing w:after="0"/>
            </w:pPr>
            <w:r>
              <w:rPr>
                <w:sz w:val="20"/>
                <w:szCs w:val="20"/>
              </w:rPr>
              <w:t xml:space="preserve">Developer friction</w:t>
            </w:r>
          </w:p>
        </w:tc>
      </w:tr>
      <w:tr>
        <w:tc>
          <w:tcPr>
            <w:tcW w:type="dxa" w:w="4200"/>
            <w:tcMar>
              <w:top w:type="dxa" w:w="80"/>
              <w:left w:type="dxa" w:w="120"/>
              <w:bottom w:type="dxa" w:w="80"/>
              <w:right w:type="dxa" w:w="120"/>
            </w:tcMar>
            <w:vAlign w:val="center"/>
          </w:tcPr>
          <w:p>
            <w:pPr>
              <w:spacing w:after="0"/>
            </w:pPr>
            <w:r>
              <w:rPr>
                <w:sz w:val="20"/>
                <w:szCs w:val="20"/>
              </w:rPr>
              <w:t xml:space="preserve">Authoring hours per domain per sprint</w:t>
            </w:r>
          </w:p>
        </w:tc>
        <w:tc>
          <w:tcPr>
            <w:tcW w:type="dxa" w:w="5150"/>
            <w:tcMar>
              <w:top w:type="dxa" w:w="80"/>
              <w:left w:type="dxa" w:w="120"/>
              <w:bottom w:type="dxa" w:w="80"/>
              <w:right w:type="dxa" w:w="120"/>
            </w:tcMar>
            <w:vAlign w:val="center"/>
          </w:tcPr>
          <w:p>
            <w:pPr>
              <w:spacing w:after="0"/>
            </w:pPr>
            <w:r>
              <w:rPr>
                <w:sz w:val="20"/>
                <w:szCs w:val="20"/>
              </w:rPr>
              <w:t xml:space="preserve">The ongoing cost side of the ledger</w:t>
            </w:r>
          </w:p>
        </w:tc>
      </w:tr>
      <w:tr>
        <w:tc>
          <w:tcPr>
            <w:tcW w:type="dxa" w:w="4200"/>
            <w:shd w:fill="FAFAFA" w:val="clear"/>
            <w:tcMar>
              <w:top w:type="dxa" w:w="80"/>
              <w:left w:type="dxa" w:w="120"/>
              <w:bottom w:type="dxa" w:w="80"/>
              <w:right w:type="dxa" w:w="120"/>
            </w:tcMar>
            <w:vAlign w:val="center"/>
          </w:tcPr>
          <w:p>
            <w:pPr>
              <w:spacing w:after="0"/>
            </w:pPr>
            <w:r>
              <w:rPr>
                <w:sz w:val="20"/>
                <w:szCs w:val="20"/>
              </w:rPr>
              <w:t xml:space="preserve">Coverage: percent of pilot-area code matched by a tracks glob</w:t>
            </w:r>
          </w:p>
        </w:tc>
        <w:tc>
          <w:tcPr>
            <w:tcW w:type="dxa" w:w="5150"/>
            <w:shd w:fill="FAFAFA" w:val="clear"/>
            <w:tcMar>
              <w:top w:type="dxa" w:w="80"/>
              <w:left w:type="dxa" w:w="120"/>
              <w:bottom w:type="dxa" w:w="80"/>
              <w:right w:type="dxa" w:w="120"/>
            </w:tcMar>
            <w:vAlign w:val="center"/>
          </w:tcPr>
          <w:p>
            <w:pPr>
              <w:spacing w:after="0"/>
            </w:pPr>
            <w:r>
              <w:rPr>
                <w:sz w:val="20"/>
                <w:szCs w:val="20"/>
              </w:rPr>
              <w:t xml:space="preserve">Whether a good result reflects the design or just a well-documented corner</w:t>
            </w:r>
          </w:p>
        </w:tc>
      </w:tr>
      <w:tr>
        <w:tc>
          <w:tcPr>
            <w:tcW w:type="dxa" w:w="4200"/>
            <w:tcMar>
              <w:top w:type="dxa" w:w="80"/>
              <w:left w:type="dxa" w:w="120"/>
              <w:bottom w:type="dxa" w:w="80"/>
              <w:right w:type="dxa" w:w="120"/>
            </w:tcMar>
            <w:vAlign w:val="center"/>
          </w:tcPr>
          <w:p>
            <w:pPr>
              <w:spacing w:after="0"/>
            </w:pPr>
            <w:r>
              <w:rPr>
                <w:sz w:val="20"/>
                <w:szCs w:val="20"/>
              </w:rPr>
              <w:t xml:space="preserve">Retrieval precision: irrelevant documents surfaced per task</w:t>
            </w:r>
          </w:p>
        </w:tc>
        <w:tc>
          <w:tcPr>
            <w:tcW w:type="dxa" w:w="5150"/>
            <w:tcMar>
              <w:top w:type="dxa" w:w="80"/>
              <w:left w:type="dxa" w:w="120"/>
              <w:bottom w:type="dxa" w:w="80"/>
              <w:right w:type="dxa" w:w="120"/>
            </w:tcMar>
            <w:vAlign w:val="center"/>
          </w:tcPr>
          <w:p>
            <w:pPr>
              <w:spacing w:after="0"/>
            </w:pPr>
            <w:r>
              <w:rPr>
                <w:sz w:val="20"/>
                <w:szCs w:val="20"/>
              </w:rPr>
              <w:t xml:space="preserve">Over-retrieval degrades output as surely as under-retrieval</w:t>
            </w:r>
          </w:p>
        </w:tc>
      </w:tr>
      <w:tr>
        <w:tc>
          <w:tcPr>
            <w:tcW w:type="dxa" w:w="4200"/>
            <w:shd w:fill="FAFAFA" w:val="clear"/>
            <w:tcMar>
              <w:top w:type="dxa" w:w="80"/>
              <w:left w:type="dxa" w:w="120"/>
              <w:bottom w:type="dxa" w:w="80"/>
              <w:right w:type="dxa" w:w="120"/>
            </w:tcMar>
            <w:vAlign w:val="center"/>
          </w:tcPr>
          <w:p>
            <w:pPr>
              <w:spacing w:after="0"/>
            </w:pPr>
            <w:r>
              <w:rPr>
                <w:sz w:val="20"/>
                <w:szCs w:val="20"/>
              </w:rPr>
              <w:t xml:space="preserve">Context consumption as percent of budget</w:t>
            </w:r>
          </w:p>
        </w:tc>
        <w:tc>
          <w:tcPr>
            <w:tcW w:type="dxa" w:w="5150"/>
            <w:shd w:fill="FAFAFA" w:val="clear"/>
            <w:tcMar>
              <w:top w:type="dxa" w:w="80"/>
              <w:left w:type="dxa" w:w="120"/>
              <w:bottom w:type="dxa" w:w="80"/>
              <w:right w:type="dxa" w:w="120"/>
            </w:tcMar>
            <w:vAlign w:val="center"/>
          </w:tcPr>
          <w:p>
            <w:pPr>
              <w:spacing w:after="0"/>
            </w:pPr>
            <w:r>
              <w:rPr>
                <w:sz w:val="20"/>
                <w:szCs w:val="20"/>
              </w:rPr>
              <w:t xml:space="preserve">Whether the model in Section 9.5 holds under real load</w:t>
            </w:r>
          </w:p>
        </w:tc>
      </w:tr>
    </w:tbl>
    <w:p>
      <w:pPr>
        <w:spacing w:after="120"/>
      </w:pPr>
    </w:p>
    <w:p>
      <w:pPr>
        <w:spacing w:after="160" w:line="276"/>
      </w:pPr>
      <w:r>
        <w:t xml:space="preserve">The last three metrics exist because output-quality measures alone are not interpretable. A strong result on a pilot area with 20 percent coverage says nothing about scale-out, and a retrieval model that surfaces the right document alongside nine wrong ones will fail quietly as the corpus grows.</w:t>
      </w:r>
    </w:p>
    <w:p>
      <w:pPr>
        <w:spacing w:after="160" w:line="276"/>
      </w:pPr>
      <w:r>
        <w:t xml:space="preserve">The evaluation runs per phase. Scale-out then becomes an evidence-backed decision, and the question "is this working?" can be answered with numbers rather than anecdote.</w:t>
      </w:r>
    </w:p>
    <w:p>
      <w:r>
        <w:br w:type="page"/>
      </w:r>
    </w:p>
    <w:p>
      <w:pPr>
        <w:pStyle w:val="Heading1"/>
        <w:spacing w:after="200" w:before="400"/>
      </w:pPr>
      <w:r>
        <w:t xml:space="preserve">12. Operating Model</w:t>
      </w:r>
    </w:p>
    <w:p>
      <w:pPr>
        <w:spacing w:after="160" w:line="276"/>
      </w:pPr>
      <w:r>
        <w:t xml:space="preserve">Sections 6 to 11 define how the layer is designed. This section defines how it is run — the process obligations an enterprise standard needs in order to survive contact with legacy code, reorganisations, auditors, and teams under delivery pressure. Everything described here lives in the _governance/ folder.</w:t>
      </w:r>
    </w:p>
    <w:p>
      <w:pPr>
        <w:pStyle w:val="Heading2"/>
        <w:spacing w:after="150" w:before="300"/>
      </w:pPr>
      <w:r>
        <w:t xml:space="preserve">12.1 Named Accountability</w:t>
      </w:r>
    </w:p>
    <w:p>
      <w:pPr>
        <w:spacing w:after="160" w:line="276"/>
      </w:pPr>
      <w:r>
        <w:t xml:space="preserve">Roles do not get paged; people do. Three named individuals are required before Phase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5300"/>
        <w:gridCol w:w="1550"/>
      </w:tblGrid>
      <w:tr>
        <w:trPr>
          <w:tblHeader/>
        </w:trPr>
        <w:tc>
          <w:tcPr>
            <w:tcW w:type="dxa" w:w="2500"/>
            <w:shd w:fill="1F3864" w:val="clear"/>
            <w:tcMar>
              <w:top w:type="dxa" w:w="80"/>
              <w:left w:type="dxa" w:w="120"/>
              <w:bottom w:type="dxa" w:w="80"/>
              <w:right w:type="dxa" w:w="120"/>
            </w:tcMar>
            <w:vAlign w:val="center"/>
          </w:tcPr>
          <w:p>
            <w:pPr>
              <w:spacing w:after="0"/>
            </w:pPr>
            <w:r>
              <w:rPr>
                <w:b/>
                <w:bCs/>
                <w:color w:val="FFFFFF"/>
                <w:sz w:val="20"/>
                <w:szCs w:val="20"/>
              </w:rPr>
              <w:t xml:space="preserve">Role</w:t>
            </w:r>
          </w:p>
        </w:tc>
        <w:tc>
          <w:tcPr>
            <w:tcW w:type="dxa" w:w="5300"/>
            <w:shd w:fill="1F3864" w:val="clear"/>
            <w:tcMar>
              <w:top w:type="dxa" w:w="80"/>
              <w:left w:type="dxa" w:w="120"/>
              <w:bottom w:type="dxa" w:w="80"/>
              <w:right w:type="dxa" w:w="120"/>
            </w:tcMar>
            <w:vAlign w:val="center"/>
          </w:tcPr>
          <w:p>
            <w:pPr>
              <w:spacing w:after="0"/>
            </w:pPr>
            <w:r>
              <w:rPr>
                <w:b/>
                <w:bCs/>
                <w:color w:val="FFFFFF"/>
                <w:sz w:val="20"/>
                <w:szCs w:val="20"/>
              </w:rPr>
              <w:t xml:space="preserve">Responsibility</w:t>
            </w:r>
          </w:p>
        </w:tc>
        <w:tc>
          <w:tcPr>
            <w:tcW w:type="dxa" w:w="1550"/>
            <w:shd w:fill="1F3864" w:val="clear"/>
            <w:tcMar>
              <w:top w:type="dxa" w:w="80"/>
              <w:left w:type="dxa" w:w="120"/>
              <w:bottom w:type="dxa" w:w="80"/>
              <w:right w:type="dxa" w:w="120"/>
            </w:tcMar>
            <w:vAlign w:val="center"/>
          </w:tcPr>
          <w:p>
            <w:pPr>
              <w:spacing w:after="0"/>
            </w:pPr>
            <w:r>
              <w:rPr>
                <w:b/>
                <w:bCs/>
                <w:color w:val="FFFFFF"/>
                <w:sz w:val="20"/>
                <w:szCs w:val="20"/>
              </w:rPr>
              <w:t xml:space="preserve">Named in</w:t>
            </w:r>
          </w:p>
        </w:tc>
      </w:tr>
      <w:tr>
        <w:tc>
          <w:tcPr>
            <w:tcW w:type="dxa" w:w="2500"/>
            <w:tcMar>
              <w:top w:type="dxa" w:w="80"/>
              <w:left w:type="dxa" w:w="120"/>
              <w:bottom w:type="dxa" w:w="80"/>
              <w:right w:type="dxa" w:w="120"/>
            </w:tcMar>
            <w:vAlign w:val="center"/>
          </w:tcPr>
          <w:p>
            <w:pPr>
              <w:spacing w:after="0"/>
            </w:pPr>
            <w:r>
              <w:rPr>
                <w:sz w:val="20"/>
                <w:szCs w:val="20"/>
              </w:rPr>
              <w:t xml:space="preserve">AKL Steward</w:t>
            </w:r>
          </w:p>
        </w:tc>
        <w:tc>
          <w:tcPr>
            <w:tcW w:type="dxa" w:w="5300"/>
            <w:tcMar>
              <w:top w:type="dxa" w:w="80"/>
              <w:left w:type="dxa" w:w="120"/>
              <w:bottom w:type="dxa" w:w="80"/>
              <w:right w:type="dxa" w:w="120"/>
            </w:tcMar>
            <w:vAlign w:val="center"/>
          </w:tcPr>
          <w:p>
            <w:pPr>
              <w:spacing w:after="0"/>
            </w:pPr>
            <w:r>
              <w:rPr>
                <w:sz w:val="20"/>
                <w:szCs w:val="20"/>
              </w:rPr>
              <w:t xml:space="preserve">Owns the standard in _governance/; approves changes to it; arbiter of last resort below Technical Management</w:t>
            </w:r>
          </w:p>
        </w:tc>
        <w:tc>
          <w:tcPr>
            <w:tcW w:type="dxa" w:w="1550"/>
            <w:tcMar>
              <w:top w:type="dxa" w:w="80"/>
              <w:left w:type="dxa" w:w="120"/>
              <w:bottom w:type="dxa" w:w="80"/>
              <w:right w:type="dxa" w:w="120"/>
            </w:tcMar>
            <w:vAlign w:val="center"/>
          </w:tcPr>
          <w:p>
            <w:pPr>
              <w:spacing w:after="0"/>
            </w:pPr>
            <w:r>
              <w:rPr>
                <w:sz w:val="20"/>
                <w:szCs w:val="20"/>
              </w:rPr>
              <w:t xml:space="preserve">OWNERS.md</w:t>
            </w:r>
          </w:p>
        </w:tc>
      </w:tr>
      <w:tr>
        <w:tc>
          <w:tcPr>
            <w:tcW w:type="dxa" w:w="2500"/>
            <w:shd w:fill="FAFAFA" w:val="clear"/>
            <w:tcMar>
              <w:top w:type="dxa" w:w="80"/>
              <w:left w:type="dxa" w:w="120"/>
              <w:bottom w:type="dxa" w:w="80"/>
              <w:right w:type="dxa" w:w="120"/>
            </w:tcMar>
            <w:vAlign w:val="center"/>
          </w:tcPr>
          <w:p>
            <w:pPr>
              <w:spacing w:after="0"/>
            </w:pPr>
            <w:r>
              <w:rPr>
                <w:sz w:val="20"/>
                <w:szCs w:val="20"/>
              </w:rPr>
              <w:t xml:space="preserve">Domain owner (per domain)</w:t>
            </w:r>
          </w:p>
        </w:tc>
        <w:tc>
          <w:tcPr>
            <w:tcW w:type="dxa" w:w="5300"/>
            <w:shd w:fill="FAFAFA" w:val="clear"/>
            <w:tcMar>
              <w:top w:type="dxa" w:w="80"/>
              <w:left w:type="dxa" w:w="120"/>
              <w:bottom w:type="dxa" w:w="80"/>
              <w:right w:type="dxa" w:w="120"/>
            </w:tcMar>
            <w:vAlign w:val="center"/>
          </w:tcPr>
          <w:p>
            <w:pPr>
              <w:spacing w:after="0"/>
            </w:pPr>
            <w:r>
              <w:rPr>
                <w:sz w:val="20"/>
                <w:szCs w:val="20"/>
              </w:rPr>
              <w:t xml:space="preserve">Approves content pull requests within their domain</w:t>
            </w:r>
          </w:p>
        </w:tc>
        <w:tc>
          <w:tcPr>
            <w:tcW w:type="dxa" w:w="1550"/>
            <w:shd w:fill="FAFAFA" w:val="clear"/>
            <w:tcMar>
              <w:top w:type="dxa" w:w="80"/>
              <w:left w:type="dxa" w:w="120"/>
              <w:bottom w:type="dxa" w:w="80"/>
              <w:right w:type="dxa" w:w="120"/>
            </w:tcMar>
            <w:vAlign w:val="center"/>
          </w:tcPr>
          <w:p>
            <w:pPr>
              <w:spacing w:after="0"/>
            </w:pPr>
            <w:r>
              <w:rPr>
                <w:sz w:val="20"/>
                <w:szCs w:val="20"/>
              </w:rPr>
              <w:t xml:space="preserve">OWNERS.md</w:t>
            </w:r>
          </w:p>
        </w:tc>
      </w:tr>
      <w:tr>
        <w:tc>
          <w:tcPr>
            <w:tcW w:type="dxa" w:w="2500"/>
            <w:tcMar>
              <w:top w:type="dxa" w:w="80"/>
              <w:left w:type="dxa" w:w="120"/>
              <w:bottom w:type="dxa" w:w="80"/>
              <w:right w:type="dxa" w:w="120"/>
            </w:tcMar>
            <w:vAlign w:val="center"/>
          </w:tcPr>
          <w:p>
            <w:pPr>
              <w:spacing w:after="0"/>
            </w:pPr>
            <w:r>
              <w:rPr>
                <w:sz w:val="20"/>
                <w:szCs w:val="20"/>
              </w:rPr>
              <w:t xml:space="preserve">Fallback owner (per domain)</w:t>
            </w:r>
          </w:p>
        </w:tc>
        <w:tc>
          <w:tcPr>
            <w:tcW w:type="dxa" w:w="5300"/>
            <w:tcMar>
              <w:top w:type="dxa" w:w="80"/>
              <w:left w:type="dxa" w:w="120"/>
              <w:bottom w:type="dxa" w:w="80"/>
              <w:right w:type="dxa" w:w="120"/>
            </w:tcMar>
            <w:vAlign w:val="center"/>
          </w:tcPr>
          <w:p>
            <w:pPr>
              <w:spacing w:after="0"/>
            </w:pPr>
            <w:r>
              <w:rPr>
                <w:sz w:val="20"/>
                <w:szCs w:val="20"/>
              </w:rPr>
              <w:t xml:space="preserve">Covers leave, reorganisation, attrition</w:t>
            </w:r>
          </w:p>
        </w:tc>
        <w:tc>
          <w:tcPr>
            <w:tcW w:type="dxa" w:w="1550"/>
            <w:tcMar>
              <w:top w:type="dxa" w:w="80"/>
              <w:left w:type="dxa" w:w="120"/>
              <w:bottom w:type="dxa" w:w="80"/>
              <w:right w:type="dxa" w:w="120"/>
            </w:tcMar>
            <w:vAlign w:val="center"/>
          </w:tcPr>
          <w:p>
            <w:pPr>
              <w:spacing w:after="0"/>
            </w:pPr>
            <w:r>
              <w:rPr>
                <w:sz w:val="20"/>
                <w:szCs w:val="20"/>
              </w:rPr>
              <w:t xml:space="preserve">OWNERS.md</w:t>
            </w:r>
          </w:p>
        </w:tc>
      </w:tr>
    </w:tbl>
    <w:p>
      <w:pPr>
        <w:spacing w:after="120"/>
      </w:pPr>
    </w:p>
    <w:p>
      <w:pPr>
        <w:spacing w:after="160" w:line="276"/>
      </w:pPr>
      <w:r>
        <w:t xml:space="preserve">A domain with no named fallback owner fails the Phase 1 exit check.</w:t>
      </w:r>
    </w:p>
    <w:p>
      <w:pPr>
        <w:pStyle w:val="Heading2"/>
        <w:spacing w:after="150" w:before="300"/>
      </w:pPr>
      <w:r>
        <w:t xml:space="preserve">12.2 Exception and Waiver Process</w:t>
      </w:r>
    </w:p>
    <w:p>
      <w:pPr>
        <w:spacing w:after="160" w:line="276"/>
      </w:pPr>
      <w:r>
        <w:t xml:space="preserve">Some code cannot reasonably comply — vendor or generated code, an acquired codebase, a module scheduled for decommission. Without a documented path, teams either fake compliance or quietly ignore the standard, and the two become indistinguishable.</w:t>
      </w:r>
    </w:p>
    <w:p>
      <w:pPr>
        <w:pStyle w:val="ListParagraph"/>
        <w:numPr>
          <w:ilvl w:val="0"/>
          <w:numId w:val="1"/>
        </w:numPr>
        <w:spacing w:after="80" w:line="276"/>
      </w:pPr>
      <w:r>
        <w:t xml:space="preserve">Request: the owning team raises a pull request adding an entry to _governance/WAIVERS.md with scope, reason, and requested expiry.</w:t>
      </w:r>
    </w:p>
    <w:p>
      <w:pPr>
        <w:pStyle w:val="ListParagraph"/>
        <w:numPr>
          <w:ilvl w:val="0"/>
          <w:numId w:val="1"/>
        </w:numPr>
        <w:spacing w:after="80" w:line="276"/>
      </w:pPr>
      <w:r>
        <w:t xml:space="preserve">Approve: the AKL Steward for scoped or technical waivers; Technical Management for anything spanning a whole domain or repository.</w:t>
      </w:r>
    </w:p>
    <w:p>
      <w:pPr>
        <w:pStyle w:val="ListParagraph"/>
        <w:numPr>
          <w:ilvl w:val="0"/>
          <w:numId w:val="1"/>
        </w:numPr>
        <w:spacing w:after="80" w:line="276"/>
      </w:pPr>
      <w:r>
        <w:t xml:space="preserve">Expiry is mandatory. No open-ended waivers; maximum two quarters, and renewal requires a fresh request rather than an extension.</w:t>
      </w:r>
    </w:p>
    <w:p>
      <w:pPr>
        <w:pStyle w:val="ListParagraph"/>
        <w:numPr>
          <w:ilvl w:val="0"/>
          <w:numId w:val="1"/>
        </w:numPr>
        <w:spacing w:after="80" w:line="276"/>
      </w:pPr>
      <w:r>
        <w:t xml:space="preserve">Visibility: waived paths are excluded from the coverage metric (Section 11) and reported separately, so a waiver reduces the denominator rather than silently inflating the score.</w:t>
      </w:r>
    </w:p>
    <w:p>
      <w:pPr>
        <w:spacing w:after="120"/>
      </w:pPr>
    </w:p>
    <w:p>
      <w:pPr>
        <w:spacing w:after="160" w:line="276"/>
      </w:pPr>
      <w:r>
        <w:rPr>
          <w:b/>
          <w:bCs/>
          <w:color w:val="1F3864"/>
        </w:rPr>
        <w:t xml:space="preserve">The distinction is the point: </w:t>
      </w:r>
      <w:r>
        <w:t xml:space="preserve">An unwaived, non-compliant path is a defect. A waived one is a known, time-boxed exception.</w:t>
      </w:r>
    </w:p>
    <w:p>
      <w:pPr>
        <w:pStyle w:val="Heading2"/>
        <w:spacing w:after="150" w:before="300"/>
      </w:pPr>
      <w:r>
        <w:t xml:space="preserve">12.3 Versioning the Standard</w:t>
      </w:r>
    </w:p>
    <w:p>
      <w:pPr>
        <w:spacing w:after="160" w:line="276"/>
      </w:pPr>
      <w:r>
        <w:t xml:space="preserve">Changes to _governance/ affect every consuming repository at once. A frontmatter schema change with no version policy breaks validation everywhere simultaneously.</w:t>
      </w:r>
    </w:p>
    <w:p>
      <w:pPr>
        <w:pStyle w:val="ListParagraph"/>
        <w:numPr>
          <w:ilvl w:val="0"/>
          <w:numId w:val="1"/>
        </w:numPr>
        <w:spacing w:after="80" w:line="276"/>
      </w:pPr>
      <w:r>
        <w:t xml:space="preserve">The standard carries a semantic version, declared in _governance/VERSION.</w:t>
      </w:r>
    </w:p>
    <w:p>
      <w:pPr>
        <w:pStyle w:val="ListParagraph"/>
        <w:numPr>
          <w:ilvl w:val="0"/>
          <w:numId w:val="1"/>
        </w:numPr>
        <w:spacing w:after="80" w:line="276"/>
      </w:pPr>
      <w:r>
        <w:t xml:space="preserve">Patch and minor changes (a new optional field, clarified wording) are picked up by consuming repositories on their next knowledge-core bump.</w:t>
      </w:r>
    </w:p>
    <w:p>
      <w:pPr>
        <w:pStyle w:val="ListParagraph"/>
        <w:numPr>
          <w:ilvl w:val="0"/>
          <w:numId w:val="1"/>
        </w:numPr>
        <w:spacing w:after="80" w:line="276"/>
      </w:pPr>
      <w:r>
        <w:t xml:space="preserve">Major changes (a required field added, a field removed or renamed, validation tightened) require a migration note, a one-quarter deprecation window during which both forms validate, and an announced cut-over date.</w:t>
      </w:r>
    </w:p>
    <w:p>
      <w:pPr>
        <w:pStyle w:val="ListParagraph"/>
        <w:numPr>
          <w:ilvl w:val="0"/>
          <w:numId w:val="1"/>
        </w:numPr>
        <w:spacing w:after="80" w:line="276"/>
      </w:pPr>
      <w:r>
        <w:t xml:space="preserve">Breaking changes without a migration path are not permitted, regardless of how small they appear.</w:t>
      </w:r>
    </w:p>
    <w:p>
      <w:pPr>
        <w:pStyle w:val="ListParagraph"/>
        <w:numPr>
          <w:ilvl w:val="0"/>
          <w:numId w:val="1"/>
        </w:numPr>
        <w:spacing w:after="80" w:line="276"/>
      </w:pPr>
      <w:r>
        <w:t xml:space="preserve">Consuming repositories pin a version. Validation warns when a repository is more than one minor version behind, and fails when it is a major version behind.</w:t>
      </w:r>
    </w:p>
    <w:p>
      <w:pPr>
        <w:pStyle w:val="Heading2"/>
        <w:spacing w:after="150" w:before="300"/>
      </w:pPr>
      <w:r>
        <w:t xml:space="preserve">12.4 Approver Service Levels</w:t>
      </w:r>
    </w:p>
    <w:p>
      <w:pPr>
        <w:spacing w:after="160" w:line="276"/>
      </w:pPr>
      <w:r>
        <w:t xml:space="preserve">Document review cadence (Section 8) governs content freshness. This governs reviewer responsiveness — the factor that most often kills federated models in practice.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800"/>
        <w:gridCol w:w="3550"/>
      </w:tblGrid>
      <w:tr>
        <w:trPr>
          <w:tblHeader/>
        </w:trPr>
        <w:tc>
          <w:tcPr>
            <w:tcW w:type="dxa" w:w="5800"/>
            <w:shd w:fill="1F3864" w:val="clear"/>
            <w:tcMar>
              <w:top w:type="dxa" w:w="80"/>
              <w:left w:type="dxa" w:w="120"/>
              <w:bottom w:type="dxa" w:w="80"/>
              <w:right w:type="dxa" w:w="120"/>
            </w:tcMar>
            <w:vAlign w:val="center"/>
          </w:tcPr>
          <w:p>
            <w:pPr>
              <w:spacing w:after="0"/>
            </w:pPr>
            <w:r>
              <w:rPr>
                <w:b/>
                <w:bCs/>
                <w:color w:val="FFFFFF"/>
                <w:sz w:val="20"/>
                <w:szCs w:val="20"/>
              </w:rPr>
              <w:t xml:space="preserve">Event</w:t>
            </w:r>
          </w:p>
        </w:tc>
        <w:tc>
          <w:tcPr>
            <w:tcW w:type="dxa" w:w="3550"/>
            <w:shd w:fill="1F3864" w:val="clear"/>
            <w:tcMar>
              <w:top w:type="dxa" w:w="80"/>
              <w:left w:type="dxa" w:w="120"/>
              <w:bottom w:type="dxa" w:w="80"/>
              <w:right w:type="dxa" w:w="120"/>
            </w:tcMar>
            <w:vAlign w:val="center"/>
          </w:tcPr>
          <w:p>
            <w:pPr>
              <w:spacing w:after="0"/>
            </w:pPr>
            <w:r>
              <w:rPr>
                <w:b/>
                <w:bCs/>
                <w:color w:val="FFFFFF"/>
                <w:sz w:val="20"/>
                <w:szCs w:val="20"/>
              </w:rPr>
              <w:t xml:space="preserve">Target</w:t>
            </w:r>
          </w:p>
        </w:tc>
      </w:tr>
      <w:tr>
        <w:tc>
          <w:tcPr>
            <w:tcW w:type="dxa" w:w="5800"/>
            <w:tcMar>
              <w:top w:type="dxa" w:w="80"/>
              <w:left w:type="dxa" w:w="120"/>
              <w:bottom w:type="dxa" w:w="80"/>
              <w:right w:type="dxa" w:w="120"/>
            </w:tcMar>
            <w:vAlign w:val="center"/>
          </w:tcPr>
          <w:p>
            <w:pPr>
              <w:spacing w:after="0"/>
            </w:pPr>
            <w:r>
              <w:rPr>
                <w:sz w:val="20"/>
                <w:szCs w:val="20"/>
              </w:rPr>
              <w:t xml:space="preserve">Content pull request reviewed by owning team</w:t>
            </w:r>
          </w:p>
        </w:tc>
        <w:tc>
          <w:tcPr>
            <w:tcW w:type="dxa" w:w="3550"/>
            <w:tcMar>
              <w:top w:type="dxa" w:w="80"/>
              <w:left w:type="dxa" w:w="120"/>
              <w:bottom w:type="dxa" w:w="80"/>
              <w:right w:type="dxa" w:w="120"/>
            </w:tcMar>
            <w:vAlign w:val="center"/>
          </w:tcPr>
          <w:p>
            <w:pPr>
              <w:spacing w:after="0"/>
            </w:pPr>
            <w:r>
              <w:rPr>
                <w:sz w:val="20"/>
                <w:szCs w:val="20"/>
              </w:rPr>
              <w:t xml:space="preserve">2 business days</w:t>
            </w:r>
          </w:p>
        </w:tc>
      </w:tr>
      <w:tr>
        <w:tc>
          <w:tcPr>
            <w:tcW w:type="dxa" w:w="5800"/>
            <w:shd w:fill="FAFAFA" w:val="clear"/>
            <w:tcMar>
              <w:top w:type="dxa" w:w="80"/>
              <w:left w:type="dxa" w:w="120"/>
              <w:bottom w:type="dxa" w:w="80"/>
              <w:right w:type="dxa" w:w="120"/>
            </w:tcMar>
            <w:vAlign w:val="center"/>
          </w:tcPr>
          <w:p>
            <w:pPr>
              <w:spacing w:after="0"/>
            </w:pPr>
            <w:r>
              <w:rPr>
                <w:sz w:val="20"/>
                <w:szCs w:val="20"/>
              </w:rPr>
              <w:t xml:space="preserve">validation-rules co-review (Development + QA)</w:t>
            </w:r>
          </w:p>
        </w:tc>
        <w:tc>
          <w:tcPr>
            <w:tcW w:type="dxa" w:w="3550"/>
            <w:shd w:fill="FAFAFA" w:val="clear"/>
            <w:tcMar>
              <w:top w:type="dxa" w:w="80"/>
              <w:left w:type="dxa" w:w="120"/>
              <w:bottom w:type="dxa" w:w="80"/>
              <w:right w:type="dxa" w:w="120"/>
            </w:tcMar>
            <w:vAlign w:val="center"/>
          </w:tcPr>
          <w:p>
            <w:pPr>
              <w:spacing w:after="0"/>
            </w:pPr>
            <w:r>
              <w:rPr>
                <w:sz w:val="20"/>
                <w:szCs w:val="20"/>
              </w:rPr>
              <w:t xml:space="preserve">3 business days</w:t>
            </w:r>
          </w:p>
        </w:tc>
      </w:tr>
      <w:tr>
        <w:tc>
          <w:tcPr>
            <w:tcW w:type="dxa" w:w="5800"/>
            <w:tcMar>
              <w:top w:type="dxa" w:w="80"/>
              <w:left w:type="dxa" w:w="120"/>
              <w:bottom w:type="dxa" w:w="80"/>
              <w:right w:type="dxa" w:w="120"/>
            </w:tcMar>
            <w:vAlign w:val="center"/>
          </w:tcPr>
          <w:p>
            <w:pPr>
              <w:spacing w:after="0"/>
            </w:pPr>
            <w:r>
              <w:rPr>
                <w:sz w:val="20"/>
                <w:szCs w:val="20"/>
              </w:rPr>
              <w:t xml:space="preserve">_governance/ standard change</w:t>
            </w:r>
          </w:p>
        </w:tc>
        <w:tc>
          <w:tcPr>
            <w:tcW w:type="dxa" w:w="3550"/>
            <w:tcMar>
              <w:top w:type="dxa" w:w="80"/>
              <w:left w:type="dxa" w:w="120"/>
              <w:bottom w:type="dxa" w:w="80"/>
              <w:right w:type="dxa" w:w="120"/>
            </w:tcMar>
            <w:vAlign w:val="center"/>
          </w:tcPr>
          <w:p>
            <w:pPr>
              <w:spacing w:after="0"/>
            </w:pPr>
            <w:r>
              <w:rPr>
                <w:sz w:val="20"/>
                <w:szCs w:val="20"/>
              </w:rPr>
              <w:t xml:space="preserve">5 business days</w:t>
            </w:r>
          </w:p>
        </w:tc>
      </w:tr>
      <w:tr>
        <w:tc>
          <w:tcPr>
            <w:tcW w:type="dxa" w:w="5800"/>
            <w:shd w:fill="FAFAFA" w:val="clear"/>
            <w:tcMar>
              <w:top w:type="dxa" w:w="80"/>
              <w:left w:type="dxa" w:w="120"/>
              <w:bottom w:type="dxa" w:w="80"/>
              <w:right w:type="dxa" w:w="120"/>
            </w:tcMar>
            <w:vAlign w:val="center"/>
          </w:tcPr>
          <w:p>
            <w:pPr>
              <w:spacing w:after="0"/>
            </w:pPr>
            <w:r>
              <w:rPr>
                <w:sz w:val="20"/>
                <w:szCs w:val="20"/>
              </w:rPr>
              <w:t xml:space="preserve">Arbitration decision (Section 6.3)</w:t>
            </w:r>
          </w:p>
        </w:tc>
        <w:tc>
          <w:tcPr>
            <w:tcW w:type="dxa" w:w="3550"/>
            <w:shd w:fill="FAFAFA" w:val="clear"/>
            <w:tcMar>
              <w:top w:type="dxa" w:w="80"/>
              <w:left w:type="dxa" w:w="120"/>
              <w:bottom w:type="dxa" w:w="80"/>
              <w:right w:type="dxa" w:w="120"/>
            </w:tcMar>
            <w:vAlign w:val="center"/>
          </w:tcPr>
          <w:p>
            <w:pPr>
              <w:spacing w:after="0"/>
            </w:pPr>
            <w:r>
              <w:rPr>
                <w:sz w:val="20"/>
                <w:szCs w:val="20"/>
              </w:rPr>
              <w:t xml:space="preserve">5 business days from escalation</w:t>
            </w:r>
          </w:p>
        </w:tc>
      </w:tr>
    </w:tbl>
    <w:p>
      <w:pPr>
        <w:spacing w:after="120"/>
      </w:pPr>
    </w:p>
    <w:p>
      <w:pPr>
        <w:spacing w:after="160" w:line="276"/>
      </w:pPr>
      <w:r>
        <w:t xml:space="preserve">A breach escalates to the domain's Accountable party in Section 6.1. A pull request blocked purely on reviewer availability for more than ten business days may be merged by the AKL Steward with a follow-up review issue raised — because a contribution path that stalls is worse than one that occasionally admits an imperfect document.</w:t>
      </w:r>
    </w:p>
    <w:p>
      <w:pPr>
        <w:pStyle w:val="Heading2"/>
        <w:spacing w:after="150" w:before="300"/>
      </w:pPr>
      <w:r>
        <w:t xml:space="preserve">12.5 Audit Evidence</w:t>
      </w:r>
    </w:p>
    <w:p>
      <w:pPr>
        <w:spacing w:after="160" w:line="276"/>
      </w:pPr>
      <w:r>
        <w:t xml:space="preserve">The layer is positioned as an auditable AI-governance artifact. The evidence it produces must therefore be stated rather than assumed.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shd w:fill="1F3864" w:val="clear"/>
            <w:tcMar>
              <w:top w:type="dxa" w:w="80"/>
              <w:left w:type="dxa" w:w="120"/>
              <w:bottom w:type="dxa" w:w="80"/>
              <w:right w:type="dxa" w:w="120"/>
            </w:tcMar>
            <w:vAlign w:val="center"/>
          </w:tcPr>
          <w:p>
            <w:pPr>
              <w:spacing w:after="0"/>
            </w:pPr>
            <w:r>
              <w:rPr>
                <w:b/>
                <w:bCs/>
                <w:color w:val="FFFFFF"/>
                <w:sz w:val="20"/>
                <w:szCs w:val="20"/>
              </w:rPr>
              <w:t xml:space="preserve">Question an auditor asks</w:t>
            </w:r>
          </w:p>
        </w:tc>
        <w:tc>
          <w:tcPr>
            <w:tcW w:type="dxa" w:w="5050"/>
            <w:shd w:fill="1F3864" w:val="clear"/>
            <w:tcMar>
              <w:top w:type="dxa" w:w="80"/>
              <w:left w:type="dxa" w:w="120"/>
              <w:bottom w:type="dxa" w:w="80"/>
              <w:right w:type="dxa" w:w="120"/>
            </w:tcMar>
            <w:vAlign w:val="center"/>
          </w:tcPr>
          <w:p>
            <w:pPr>
              <w:spacing w:after="0"/>
            </w:pPr>
            <w:r>
              <w:rPr>
                <w:b/>
                <w:bCs/>
                <w:color w:val="FFFFFF"/>
                <w:sz w:val="20"/>
                <w:szCs w:val="20"/>
              </w:rPr>
              <w:t xml:space="preserve">Where the evidence is</w:t>
            </w:r>
          </w:p>
        </w:tc>
      </w:tr>
      <w:tr>
        <w:tc>
          <w:tcPr>
            <w:tcW w:type="dxa" w:w="4300"/>
            <w:tcMar>
              <w:top w:type="dxa" w:w="80"/>
              <w:left w:type="dxa" w:w="120"/>
              <w:bottom w:type="dxa" w:w="80"/>
              <w:right w:type="dxa" w:w="120"/>
            </w:tcMar>
            <w:vAlign w:val="center"/>
          </w:tcPr>
          <w:p>
            <w:pPr>
              <w:spacing w:after="0"/>
            </w:pPr>
            <w:r>
              <w:rPr>
                <w:sz w:val="20"/>
                <w:szCs w:val="20"/>
              </w:rPr>
              <w:t xml:space="preserve">Who approved this rule, and when?</w:t>
            </w:r>
          </w:p>
        </w:tc>
        <w:tc>
          <w:tcPr>
            <w:tcW w:type="dxa" w:w="5050"/>
            <w:tcMar>
              <w:top w:type="dxa" w:w="80"/>
              <w:left w:type="dxa" w:w="120"/>
              <w:bottom w:type="dxa" w:w="80"/>
              <w:right w:type="dxa" w:w="120"/>
            </w:tcMar>
            <w:vAlign w:val="center"/>
          </w:tcPr>
          <w:p>
            <w:pPr>
              <w:spacing w:after="0"/>
            </w:pPr>
            <w:r>
              <w:rPr>
                <w:sz w:val="20"/>
                <w:szCs w:val="20"/>
              </w:rPr>
              <w:t xml:space="preserve">Git history plus the pull request approval record</w:t>
            </w:r>
          </w:p>
        </w:tc>
      </w:tr>
      <w:tr>
        <w:tc>
          <w:tcPr>
            <w:tcW w:type="dxa" w:w="4300"/>
            <w:shd w:fill="FAFAFA" w:val="clear"/>
            <w:tcMar>
              <w:top w:type="dxa" w:w="80"/>
              <w:left w:type="dxa" w:w="120"/>
              <w:bottom w:type="dxa" w:w="80"/>
              <w:right w:type="dxa" w:w="120"/>
            </w:tcMar>
            <w:vAlign w:val="center"/>
          </w:tcPr>
          <w:p>
            <w:pPr>
              <w:spacing w:after="0"/>
            </w:pPr>
            <w:r>
              <w:rPr>
                <w:sz w:val="20"/>
                <w:szCs w:val="20"/>
              </w:rPr>
              <w:t xml:space="preserve">What did it say at the time of the incident?</w:t>
            </w:r>
          </w:p>
        </w:tc>
        <w:tc>
          <w:tcPr>
            <w:tcW w:type="dxa" w:w="5050"/>
            <w:shd w:fill="FAFAFA" w:val="clear"/>
            <w:tcMar>
              <w:top w:type="dxa" w:w="80"/>
              <w:left w:type="dxa" w:w="120"/>
              <w:bottom w:type="dxa" w:w="80"/>
              <w:right w:type="dxa" w:w="120"/>
            </w:tcMar>
            <w:vAlign w:val="center"/>
          </w:tcPr>
          <w:p>
            <w:pPr>
              <w:spacing w:after="0"/>
            </w:pPr>
            <w:r>
              <w:rPr>
                <w:sz w:val="20"/>
                <w:szCs w:val="20"/>
              </w:rPr>
              <w:t xml:space="preserve">Git history at the relevant commit or tag</w:t>
            </w:r>
          </w:p>
        </w:tc>
      </w:tr>
      <w:tr>
        <w:tc>
          <w:tcPr>
            <w:tcW w:type="dxa" w:w="4300"/>
            <w:tcMar>
              <w:top w:type="dxa" w:w="80"/>
              <w:left w:type="dxa" w:w="120"/>
              <w:bottom w:type="dxa" w:w="80"/>
              <w:right w:type="dxa" w:w="120"/>
            </w:tcMar>
            <w:vAlign w:val="center"/>
          </w:tcPr>
          <w:p>
            <w:pPr>
              <w:spacing w:after="0"/>
            </w:pPr>
            <w:r>
              <w:rPr>
                <w:sz w:val="20"/>
                <w:szCs w:val="20"/>
              </w:rPr>
              <w:t xml:space="preserve">Which content is AI-proposed versus human-authored?</w:t>
            </w:r>
          </w:p>
        </w:tc>
        <w:tc>
          <w:tcPr>
            <w:tcW w:type="dxa" w:w="5050"/>
            <w:tcMar>
              <w:top w:type="dxa" w:w="80"/>
              <w:left w:type="dxa" w:w="120"/>
              <w:bottom w:type="dxa" w:w="80"/>
              <w:right w:type="dxa" w:w="120"/>
            </w:tcMar>
            <w:vAlign w:val="center"/>
          </w:tcPr>
          <w:p>
            <w:pPr>
              <w:spacing w:after="0"/>
            </w:pPr>
            <w:r>
              <w:rPr>
                <w:sz w:val="20"/>
                <w:szCs w:val="20"/>
              </w:rPr>
              <w:t xml:space="preserve">The authored_by frontmatter field</w:t>
            </w:r>
          </w:p>
        </w:tc>
      </w:tr>
      <w:tr>
        <w:tc>
          <w:tcPr>
            <w:tcW w:type="dxa" w:w="4300"/>
            <w:shd w:fill="FAFAFA" w:val="clear"/>
            <w:tcMar>
              <w:top w:type="dxa" w:w="80"/>
              <w:left w:type="dxa" w:w="120"/>
              <w:bottom w:type="dxa" w:w="80"/>
              <w:right w:type="dxa" w:w="120"/>
            </w:tcMar>
            <w:vAlign w:val="center"/>
          </w:tcPr>
          <w:p>
            <w:pPr>
              <w:spacing w:after="0"/>
            </w:pPr>
            <w:r>
              <w:rPr>
                <w:sz w:val="20"/>
                <w:szCs w:val="20"/>
              </w:rPr>
              <w:t xml:space="preserve">What was excluded from AI context, and why?</w:t>
            </w:r>
          </w:p>
        </w:tc>
        <w:tc>
          <w:tcPr>
            <w:tcW w:type="dxa" w:w="5050"/>
            <w:shd w:fill="FAFAFA" w:val="clear"/>
            <w:tcMar>
              <w:top w:type="dxa" w:w="80"/>
              <w:left w:type="dxa" w:w="120"/>
              <w:bottom w:type="dxa" w:w="80"/>
              <w:right w:type="dxa" w:w="120"/>
            </w:tcMar>
            <w:vAlign w:val="center"/>
          </w:tcPr>
          <w:p>
            <w:pPr>
              <w:spacing w:after="0"/>
            </w:pPr>
            <w:r>
              <w:rPr>
                <w:sz w:val="20"/>
                <w:szCs w:val="20"/>
              </w:rPr>
              <w:t xml:space="preserve">status and sensitivity fields, plus the Section 7 validation checks</w:t>
            </w:r>
          </w:p>
        </w:tc>
      </w:tr>
      <w:tr>
        <w:tc>
          <w:tcPr>
            <w:tcW w:type="dxa" w:w="4300"/>
            <w:tcMar>
              <w:top w:type="dxa" w:w="80"/>
              <w:left w:type="dxa" w:w="120"/>
              <w:bottom w:type="dxa" w:w="80"/>
              <w:right w:type="dxa" w:w="120"/>
            </w:tcMar>
            <w:vAlign w:val="center"/>
          </w:tcPr>
          <w:p>
            <w:pPr>
              <w:spacing w:after="0"/>
            </w:pPr>
            <w:r>
              <w:rPr>
                <w:sz w:val="20"/>
                <w:szCs w:val="20"/>
              </w:rPr>
              <w:t xml:space="preserve">Which non-compliance is known and accepted?</w:t>
            </w:r>
          </w:p>
        </w:tc>
        <w:tc>
          <w:tcPr>
            <w:tcW w:type="dxa" w:w="5050"/>
            <w:tcMar>
              <w:top w:type="dxa" w:w="80"/>
              <w:left w:type="dxa" w:w="120"/>
              <w:bottom w:type="dxa" w:w="80"/>
              <w:right w:type="dxa" w:w="120"/>
            </w:tcMar>
            <w:vAlign w:val="center"/>
          </w:tcPr>
          <w:p>
            <w:pPr>
              <w:spacing w:after="0"/>
            </w:pPr>
            <w:r>
              <w:rPr>
                <w:sz w:val="20"/>
                <w:szCs w:val="20"/>
              </w:rPr>
              <w:t xml:space="preserve">_governance/WAIVERS.md</w:t>
            </w:r>
          </w:p>
        </w:tc>
      </w:tr>
      <w:tr>
        <w:tc>
          <w:tcPr>
            <w:tcW w:type="dxa" w:w="4300"/>
            <w:shd w:fill="FAFAFA" w:val="clear"/>
            <w:tcMar>
              <w:top w:type="dxa" w:w="80"/>
              <w:left w:type="dxa" w:w="120"/>
              <w:bottom w:type="dxa" w:w="80"/>
              <w:right w:type="dxa" w:w="120"/>
            </w:tcMar>
            <w:vAlign w:val="center"/>
          </w:tcPr>
          <w:p>
            <w:pPr>
              <w:spacing w:after="0"/>
            </w:pPr>
            <w:r>
              <w:rPr>
                <w:sz w:val="20"/>
                <w:szCs w:val="20"/>
              </w:rPr>
              <w:t xml:space="preserve">Who owns this domain today?</w:t>
            </w:r>
          </w:p>
        </w:tc>
        <w:tc>
          <w:tcPr>
            <w:tcW w:type="dxa" w:w="5050"/>
            <w:shd w:fill="FAFAFA" w:val="clear"/>
            <w:tcMar>
              <w:top w:type="dxa" w:w="80"/>
              <w:left w:type="dxa" w:w="120"/>
              <w:bottom w:type="dxa" w:w="80"/>
              <w:right w:type="dxa" w:w="120"/>
            </w:tcMar>
            <w:vAlign w:val="center"/>
          </w:tcPr>
          <w:p>
            <w:pPr>
              <w:spacing w:after="0"/>
            </w:pPr>
            <w:r>
              <w:rPr>
                <w:sz w:val="20"/>
                <w:szCs w:val="20"/>
              </w:rPr>
              <w:t xml:space="preserve">OWNERS.md</w:t>
            </w:r>
          </w:p>
        </w:tc>
      </w:tr>
    </w:tbl>
    <w:p>
      <w:pPr>
        <w:spacing w:after="120"/>
      </w:pPr>
    </w:p>
    <w:p>
      <w:pPr>
        <w:spacing w:after="160" w:line="276"/>
      </w:pPr>
      <w:r>
        <w:rPr>
          <w:b/>
          <w:bCs/>
          <w:color w:val="1F3864"/>
        </w:rPr>
        <w:t xml:space="preserve">Retention: </w:t>
      </w:r>
      <w:r>
        <w:t xml:space="preserve">Repository history is the record. Confirm in Phase 0 that the retention period on the git host meets the organisation's evidentiary requirement, and that history is not squashed in a way that destroys approval attribution.</w:t>
      </w:r>
    </w:p>
    <w:p>
      <w:pPr>
        <w:pStyle w:val="Heading2"/>
        <w:spacing w:after="150" w:before="300"/>
      </w:pPr>
      <w:r>
        <w:t xml:space="preserve">12.6 Alignment to Existing AI Governance</w:t>
      </w:r>
    </w:p>
    <w:p>
      <w:pPr>
        <w:spacing w:after="160" w:line="276"/>
      </w:pPr>
      <w:r>
        <w:t xml:space="preserve">The AKL is an AI-adjacent system and is subject to the organisation's existing AI governance process, not an alternative to it. Phase 0 must record: whether the AKL itself requires governance intake and, if so, its outcome; which existing gate or control it satisfies, partially satisfies, or is independent of, stated explicitly rather than implied; and whether it introduces any new control obligation — most likely around data residency and the handling of restricted content.</w:t>
      </w:r>
    </w:p>
    <w:p>
      <w:pPr>
        <w:spacing w:after="160" w:line="276"/>
      </w:pPr>
      <w:r>
        <w:t xml:space="preserve">Presenting the AKL as a governance artifact without stating its own position relative to the existing process is the fastest way to lose a review.</w:t>
      </w:r>
    </w:p>
    <w:p>
      <w:pPr>
        <w:pStyle w:val="Heading2"/>
        <w:spacing w:after="150" w:before="300"/>
      </w:pPr>
      <w:r>
        <w:t xml:space="preserve">12.7 Retiring What It Replaces</w:t>
      </w:r>
    </w:p>
    <w:p>
      <w:pPr>
        <w:spacing w:after="160" w:line="276"/>
      </w:pPr>
      <w:r>
        <w:t xml:space="preserve">If the wiki and ADO pages continue to carry the same facts, the layer has added a source of truth rather than consolidated one — recreating the exact problem it exists to solve. For every domain seeded in the pilot, Phase 3 must record what moves into the AKL, what remains where it is and why, and what is archived. Superseded wiki pages are replaced with a pointer to the governing document identifier, not deleted silently and not left in place.</w:t>
      </w:r>
    </w:p>
    <w:p>
      <w:pPr>
        <w:pStyle w:val="Heading2"/>
        <w:spacing w:after="150" w:before="300"/>
      </w:pPr>
      <w:r>
        <w:t xml:space="preserve">12.8 Consumption Paths by Audience</w:t>
      </w:r>
    </w:p>
    <w:p>
      <w:pPr>
        <w:spacing w:after="160" w:line="276"/>
      </w:pPr>
      <w:r>
        <w:t xml:space="preserve">Six audiences are named in Section 3, and two of them — Business Analysis and manual QA — are domain owners under Section 6 who do not work in VS Code. If reading a business rule requires navigating repository folders, those teams disengage regardless of governance quality, and their ownership becomes nominal.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50"/>
      </w:tblGrid>
      <w:tr>
        <w:trPr>
          <w:tblHeader/>
        </w:trPr>
        <w:tc>
          <w:tcPr>
            <w:tcW w:type="dxa" w:w="3000"/>
            <w:shd w:fill="1F3864" w:val="clear"/>
            <w:tcMar>
              <w:top w:type="dxa" w:w="80"/>
              <w:left w:type="dxa" w:w="120"/>
              <w:bottom w:type="dxa" w:w="80"/>
              <w:right w:type="dxa" w:w="120"/>
            </w:tcMar>
            <w:vAlign w:val="center"/>
          </w:tcPr>
          <w:p>
            <w:pPr>
              <w:spacing w:after="0"/>
            </w:pPr>
            <w:r>
              <w:rPr>
                <w:b/>
                <w:bCs/>
                <w:color w:val="FFFFFF"/>
                <w:sz w:val="20"/>
                <w:szCs w:val="20"/>
              </w:rPr>
              <w:t xml:space="preserve">Audience</w:t>
            </w:r>
          </w:p>
        </w:tc>
        <w:tc>
          <w:tcPr>
            <w:tcW w:type="dxa" w:w="4000"/>
            <w:shd w:fill="1F3864" w:val="clear"/>
            <w:tcMar>
              <w:top w:type="dxa" w:w="80"/>
              <w:left w:type="dxa" w:w="120"/>
              <w:bottom w:type="dxa" w:w="80"/>
              <w:right w:type="dxa" w:w="120"/>
            </w:tcMar>
            <w:vAlign w:val="center"/>
          </w:tcPr>
          <w:p>
            <w:pPr>
              <w:spacing w:after="0"/>
            </w:pPr>
            <w:r>
              <w:rPr>
                <w:b/>
                <w:bCs/>
                <w:color w:val="FFFFFF"/>
                <w:sz w:val="20"/>
                <w:szCs w:val="20"/>
              </w:rPr>
              <w:t xml:space="preserve">Path</w:t>
            </w:r>
          </w:p>
        </w:tc>
        <w:tc>
          <w:tcPr>
            <w:tcW w:type="dxa" w:w="2350"/>
            <w:shd w:fill="1F3864" w:val="clear"/>
            <w:tcMar>
              <w:top w:type="dxa" w:w="80"/>
              <w:left w:type="dxa" w:w="120"/>
              <w:bottom w:type="dxa" w:w="80"/>
              <w:right w:type="dxa" w:w="120"/>
            </w:tcMar>
            <w:vAlign w:val="center"/>
          </w:tcPr>
          <w:p>
            <w:pPr>
              <w:spacing w:after="0"/>
            </w:pPr>
            <w:r>
              <w:rPr>
                <w:b/>
                <w:bCs/>
                <w:color w:val="FFFFFF"/>
                <w:sz w:val="20"/>
                <w:szCs w:val="20"/>
              </w:rPr>
              <w:t xml:space="preserve">Status</w:t>
            </w:r>
          </w:p>
        </w:tc>
      </w:tr>
      <w:tr>
        <w:tc>
          <w:tcPr>
            <w:tcW w:type="dxa" w:w="3000"/>
            <w:tcMar>
              <w:top w:type="dxa" w:w="80"/>
              <w:left w:type="dxa" w:w="120"/>
              <w:bottom w:type="dxa" w:w="80"/>
              <w:right w:type="dxa" w:w="120"/>
            </w:tcMar>
            <w:vAlign w:val="center"/>
          </w:tcPr>
          <w:p>
            <w:pPr>
              <w:spacing w:after="0"/>
            </w:pPr>
            <w:r>
              <w:rPr>
                <w:sz w:val="20"/>
                <w:szCs w:val="20"/>
              </w:rPr>
              <w:t xml:space="preserve">Developers</w:t>
            </w:r>
          </w:p>
        </w:tc>
        <w:tc>
          <w:tcPr>
            <w:tcW w:type="dxa" w:w="4000"/>
            <w:tcMar>
              <w:top w:type="dxa" w:w="80"/>
              <w:left w:type="dxa" w:w="120"/>
              <w:bottom w:type="dxa" w:w="80"/>
              <w:right w:type="dxa" w:w="120"/>
            </w:tcMar>
            <w:vAlign w:val="center"/>
          </w:tcPr>
          <w:p>
            <w:pPr>
              <w:spacing w:after="0"/>
            </w:pPr>
            <w:r>
              <w:rPr>
                <w:sz w:val="20"/>
                <w:szCs w:val="20"/>
              </w:rPr>
              <w:t xml:space="preserve">Scoped Copilot instructions, in-editor</w:t>
            </w:r>
          </w:p>
        </w:tc>
        <w:tc>
          <w:tcPr>
            <w:tcW w:type="dxa" w:w="2350"/>
            <w:tcMar>
              <w:top w:type="dxa" w:w="80"/>
              <w:left w:type="dxa" w:w="120"/>
              <w:bottom w:type="dxa" w:w="80"/>
              <w:right w:type="dxa" w:w="120"/>
            </w:tcMar>
            <w:vAlign w:val="center"/>
          </w:tcPr>
          <w:p>
            <w:pPr>
              <w:spacing w:after="0"/>
            </w:pPr>
            <w:r>
              <w:rPr>
                <w:sz w:val="20"/>
                <w:szCs w:val="20"/>
              </w:rPr>
              <w:t xml:space="preserve">Defined (Section 9)</w:t>
            </w:r>
          </w:p>
        </w:tc>
      </w:tr>
      <w:tr>
        <w:tc>
          <w:tcPr>
            <w:tcW w:type="dxa" w:w="3000"/>
            <w:shd w:fill="FAFAFA" w:val="clear"/>
            <w:tcMar>
              <w:top w:type="dxa" w:w="80"/>
              <w:left w:type="dxa" w:w="120"/>
              <w:bottom w:type="dxa" w:w="80"/>
              <w:right w:type="dxa" w:w="120"/>
            </w:tcMar>
            <w:vAlign w:val="center"/>
          </w:tcPr>
          <w:p>
            <w:pPr>
              <w:spacing w:after="0"/>
            </w:pPr>
            <w:r>
              <w:rPr>
                <w:sz w:val="20"/>
                <w:szCs w:val="20"/>
              </w:rPr>
              <w:t xml:space="preserve">QA Automation</w:t>
            </w:r>
          </w:p>
        </w:tc>
        <w:tc>
          <w:tcPr>
            <w:tcW w:type="dxa" w:w="4000"/>
            <w:shd w:fill="FAFAFA" w:val="clear"/>
            <w:tcMar>
              <w:top w:type="dxa" w:w="80"/>
              <w:left w:type="dxa" w:w="120"/>
              <w:bottom w:type="dxa" w:w="80"/>
              <w:right w:type="dxa" w:w="120"/>
            </w:tcMar>
            <w:vAlign w:val="center"/>
          </w:tcPr>
          <w:p>
            <w:pPr>
              <w:spacing w:after="0"/>
            </w:pPr>
            <w:r>
              <w:rPr>
                <w:sz w:val="20"/>
                <w:szCs w:val="20"/>
              </w:rPr>
              <w:t xml:space="preserve">Programmatic read from the repository</w:t>
            </w:r>
          </w:p>
        </w:tc>
        <w:tc>
          <w:tcPr>
            <w:tcW w:type="dxa" w:w="2350"/>
            <w:shd w:fill="FAFAFA" w:val="clear"/>
            <w:tcMar>
              <w:top w:type="dxa" w:w="80"/>
              <w:left w:type="dxa" w:w="120"/>
              <w:bottom w:type="dxa" w:w="80"/>
              <w:right w:type="dxa" w:w="120"/>
            </w:tcMar>
            <w:vAlign w:val="center"/>
          </w:tcPr>
          <w:p>
            <w:pPr>
              <w:spacing w:after="0"/>
            </w:pPr>
            <w:r>
              <w:rPr>
                <w:sz w:val="20"/>
                <w:szCs w:val="20"/>
              </w:rPr>
              <w:t xml:space="preserve">Defined</w:t>
            </w:r>
          </w:p>
        </w:tc>
      </w:tr>
      <w:tr>
        <w:tc>
          <w:tcPr>
            <w:tcW w:type="dxa" w:w="3000"/>
            <w:tcMar>
              <w:top w:type="dxa" w:w="80"/>
              <w:left w:type="dxa" w:w="120"/>
              <w:bottom w:type="dxa" w:w="80"/>
              <w:right w:type="dxa" w:w="120"/>
            </w:tcMar>
            <w:vAlign w:val="center"/>
          </w:tcPr>
          <w:p>
            <w:pPr>
              <w:spacing w:after="0"/>
            </w:pPr>
            <w:r>
              <w:rPr>
                <w:sz w:val="20"/>
                <w:szCs w:val="20"/>
              </w:rPr>
              <w:t xml:space="preserve">BA, Manual QA, Technical Management</w:t>
            </w:r>
          </w:p>
        </w:tc>
        <w:tc>
          <w:tcPr>
            <w:tcW w:type="dxa" w:w="4000"/>
            <w:tcMar>
              <w:top w:type="dxa" w:w="80"/>
              <w:left w:type="dxa" w:w="120"/>
              <w:bottom w:type="dxa" w:w="80"/>
              <w:right w:type="dxa" w:w="120"/>
            </w:tcMar>
            <w:vAlign w:val="center"/>
          </w:tcPr>
          <w:p>
            <w:pPr>
              <w:spacing w:after="0"/>
            </w:pPr>
            <w:r>
              <w:rPr>
                <w:sz w:val="20"/>
                <w:szCs w:val="20"/>
              </w:rPr>
              <w:t xml:space="preserve">Rendered, browsable documentation site</w:t>
            </w:r>
          </w:p>
        </w:tc>
        <w:tc>
          <w:tcPr>
            <w:tcW w:type="dxa" w:w="2350"/>
            <w:tcMar>
              <w:top w:type="dxa" w:w="80"/>
              <w:left w:type="dxa" w:w="120"/>
              <w:bottom w:type="dxa" w:w="80"/>
              <w:right w:type="dxa" w:w="120"/>
            </w:tcMar>
            <w:vAlign w:val="center"/>
          </w:tcPr>
          <w:p>
            <w:pPr>
              <w:spacing w:after="0"/>
            </w:pPr>
            <w:r>
              <w:rPr>
                <w:sz w:val="20"/>
                <w:szCs w:val="20"/>
              </w:rPr>
              <w:t xml:space="preserve">Open — decide in Phase 0</w:t>
            </w:r>
          </w:p>
        </w:tc>
      </w:tr>
    </w:tbl>
    <w:p>
      <w:pPr>
        <w:spacing w:after="120"/>
      </w:pPr>
    </w:p>
    <w:p>
      <w:pPr>
        <w:spacing w:after="160" w:line="276"/>
      </w:pPr>
      <w:r>
        <w:t xml:space="preserve">Options to evaluate: a static site generator publishing on merge (the mechanism underneath Spotify TechDocs), or synchronisation into the existing enterprise wiki as a read-only mirror. The mirror must be unambiguously read-only; a two-way synchronisation reintroduces dual-source drift.</w:t>
      </w:r>
    </w:p>
    <w:p>
      <w:pPr>
        <w:pStyle w:val="Heading2"/>
        <w:spacing w:after="150" w:before="300"/>
      </w:pPr>
      <w:r>
        <w:t xml:space="preserve">12.9 Enablement</w:t>
      </w:r>
    </w:p>
    <w:p>
      <w:pPr>
        <w:spacing w:after="160" w:line="276"/>
      </w:pPr>
      <w:r>
        <w:t xml:space="preserve">Teams are being asked to author in a format none of them have used.</w:t>
      </w:r>
    </w:p>
    <w:p>
      <w:pPr>
        <w:pStyle w:val="ListParagraph"/>
        <w:numPr>
          <w:ilvl w:val="0"/>
          <w:numId w:val="1"/>
        </w:numPr>
        <w:spacing w:after="80" w:line="276"/>
      </w:pPr>
      <w:r>
        <w:t xml:space="preserve">A worked reference example per domain in _governance/schema-templates/, showing a complete good document rather than a skeleton.</w:t>
      </w:r>
    </w:p>
    <w:p>
      <w:pPr>
        <w:pStyle w:val="ListParagraph"/>
        <w:numPr>
          <w:ilvl w:val="0"/>
          <w:numId w:val="1"/>
        </w:numPr>
        <w:spacing w:after="80" w:line="276"/>
      </w:pPr>
      <w:r>
        <w:t xml:space="preserve">A single onboarding page: how to add a document, how to get it approved, and who to ask.</w:t>
      </w:r>
    </w:p>
    <w:p>
      <w:pPr>
        <w:pStyle w:val="ListParagraph"/>
        <w:numPr>
          <w:ilvl w:val="0"/>
          <w:numId w:val="1"/>
        </w:numPr>
        <w:spacing w:after="80" w:line="276"/>
      </w:pPr>
      <w:r>
        <w:t xml:space="preserve">The create-knowledge-doc scaffolder (open decision) materially raises conformance; the alternative is six local interpretations of one standard.</w:t>
      </w:r>
    </w:p>
    <w:p>
      <w:pPr>
        <w:pStyle w:val="ListParagraph"/>
        <w:numPr>
          <w:ilvl w:val="0"/>
          <w:numId w:val="1"/>
        </w:numPr>
        <w:spacing w:after="80" w:line="276"/>
      </w:pPr>
      <w:r>
        <w:t xml:space="preserve">The role-based prompt playbook is the adoption artifact for non-authors — it is what makes the layer visibly useful to someone who never writes a document.</w:t>
      </w:r>
    </w:p>
    <w:p>
      <w:pPr>
        <w:pStyle w:val="Heading2"/>
        <w:spacing w:after="150" w:before="300"/>
      </w:pPr>
      <w:r>
        <w:t xml:space="preserve">12.10 Indicative Cost</w:t>
      </w:r>
    </w:p>
    <w:p>
      <w:pPr>
        <w:spacing w:after="160" w:line="276"/>
      </w:pPr>
      <w:r>
        <w:t xml:space="preserve">Rough order of magnitude for sponsor conversations; refine after Phase 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1F3864" w:val="clear"/>
            <w:tcMar>
              <w:top w:type="dxa" w:w="80"/>
              <w:left w:type="dxa" w:w="120"/>
              <w:bottom w:type="dxa" w:w="80"/>
              <w:right w:type="dxa" w:w="120"/>
            </w:tcMar>
            <w:vAlign w:val="center"/>
          </w:tcPr>
          <w:p>
            <w:pPr>
              <w:spacing w:after="0"/>
            </w:pPr>
            <w:r>
              <w:rPr>
                <w:b/>
                <w:bCs/>
                <w:color w:val="FFFFFF"/>
                <w:sz w:val="20"/>
                <w:szCs w:val="20"/>
              </w:rPr>
              <w:t xml:space="preserve">Phase</w:t>
            </w:r>
          </w:p>
        </w:tc>
        <w:tc>
          <w:tcPr>
            <w:tcW w:type="dxa" w:w="5350"/>
            <w:shd w:fill="1F3864" w:val="clear"/>
            <w:tcMar>
              <w:top w:type="dxa" w:w="80"/>
              <w:left w:type="dxa" w:w="120"/>
              <w:bottom w:type="dxa" w:w="80"/>
              <w:right w:type="dxa" w:w="120"/>
            </w:tcMar>
            <w:vAlign w:val="center"/>
          </w:tcPr>
          <w:p>
            <w:pPr>
              <w:spacing w:after="0"/>
            </w:pPr>
            <w:r>
              <w:rPr>
                <w:b/>
                <w:bCs/>
                <w:color w:val="FFFFFF"/>
                <w:sz w:val="20"/>
                <w:szCs w:val="20"/>
              </w:rPr>
              <w:t xml:space="preserve">Indicative effort</w:t>
            </w:r>
          </w:p>
        </w:tc>
      </w:tr>
      <w:tr>
        <w:tc>
          <w:tcPr>
            <w:tcW w:type="dxa" w:w="4000"/>
            <w:tcMar>
              <w:top w:type="dxa" w:w="80"/>
              <w:left w:type="dxa" w:w="120"/>
              <w:bottom w:type="dxa" w:w="80"/>
              <w:right w:type="dxa" w:w="120"/>
            </w:tcMar>
            <w:vAlign w:val="center"/>
          </w:tcPr>
          <w:p>
            <w:pPr>
              <w:spacing w:after="0"/>
            </w:pPr>
            <w:r>
              <w:rPr>
                <w:sz w:val="20"/>
                <w:szCs w:val="20"/>
              </w:rPr>
              <w:t xml:space="preserve">0. Decide</w:t>
            </w:r>
          </w:p>
        </w:tc>
        <w:tc>
          <w:tcPr>
            <w:tcW w:type="dxa" w:w="5350"/>
            <w:tcMar>
              <w:top w:type="dxa" w:w="80"/>
              <w:left w:type="dxa" w:w="120"/>
              <w:bottom w:type="dxa" w:w="80"/>
              <w:right w:type="dxa" w:w="120"/>
            </w:tcMar>
            <w:vAlign w:val="center"/>
          </w:tcPr>
          <w:p>
            <w:pPr>
              <w:spacing w:after="0"/>
            </w:pPr>
            <w:r>
              <w:rPr>
                <w:sz w:val="20"/>
                <w:szCs w:val="20"/>
              </w:rPr>
              <w:t xml:space="preserve">1–2 weeks elapsed, small group, low effort</w:t>
            </w:r>
          </w:p>
        </w:tc>
      </w:tr>
      <w:tr>
        <w:tc>
          <w:tcPr>
            <w:tcW w:type="dxa" w:w="4000"/>
            <w:shd w:fill="FAFAFA" w:val="clear"/>
            <w:tcMar>
              <w:top w:type="dxa" w:w="80"/>
              <w:left w:type="dxa" w:w="120"/>
              <w:bottom w:type="dxa" w:w="80"/>
              <w:right w:type="dxa" w:w="120"/>
            </w:tcMar>
            <w:vAlign w:val="center"/>
          </w:tcPr>
          <w:p>
            <w:pPr>
              <w:spacing w:after="0"/>
            </w:pPr>
            <w:r>
              <w:rPr>
                <w:sz w:val="20"/>
                <w:szCs w:val="20"/>
              </w:rPr>
              <w:t xml:space="preserve">1. Foundation (structure, CI validation)</w:t>
            </w:r>
          </w:p>
        </w:tc>
        <w:tc>
          <w:tcPr>
            <w:tcW w:type="dxa" w:w="5350"/>
            <w:shd w:fill="FAFAFA" w:val="clear"/>
            <w:tcMar>
              <w:top w:type="dxa" w:w="80"/>
              <w:left w:type="dxa" w:w="120"/>
              <w:bottom w:type="dxa" w:w="80"/>
              <w:right w:type="dxa" w:w="120"/>
            </w:tcMar>
            <w:vAlign w:val="center"/>
          </w:tcPr>
          <w:p>
            <w:pPr>
              <w:spacing w:after="0"/>
            </w:pPr>
            <w:r>
              <w:rPr>
                <w:sz w:val="20"/>
                <w:szCs w:val="20"/>
              </w:rPr>
              <w:t xml:space="preserve">Approximately 1 week engineering</w:t>
            </w:r>
          </w:p>
        </w:tc>
      </w:tr>
      <w:tr>
        <w:tc>
          <w:tcPr>
            <w:tcW w:type="dxa" w:w="4000"/>
            <w:tcMar>
              <w:top w:type="dxa" w:w="80"/>
              <w:left w:type="dxa" w:w="120"/>
              <w:bottom w:type="dxa" w:w="80"/>
              <w:right w:type="dxa" w:w="120"/>
            </w:tcMar>
            <w:vAlign w:val="center"/>
          </w:tcPr>
          <w:p>
            <w:pPr>
              <w:spacing w:after="0"/>
            </w:pPr>
            <w:r>
              <w:rPr>
                <w:sz w:val="20"/>
                <w:szCs w:val="20"/>
              </w:rPr>
              <w:t xml:space="preserve">2. Generators</w:t>
            </w:r>
          </w:p>
        </w:tc>
        <w:tc>
          <w:tcPr>
            <w:tcW w:type="dxa" w:w="5350"/>
            <w:tcMar>
              <w:top w:type="dxa" w:w="80"/>
              <w:left w:type="dxa" w:w="120"/>
              <w:bottom w:type="dxa" w:w="80"/>
              <w:right w:type="dxa" w:w="120"/>
            </w:tcMar>
            <w:vAlign w:val="center"/>
          </w:tcPr>
          <w:p>
            <w:pPr>
              <w:spacing w:after="0"/>
            </w:pPr>
            <w:r>
              <w:rPr>
                <w:sz w:val="20"/>
                <w:szCs w:val="20"/>
              </w:rPr>
              <w:t xml:space="preserve">1–2 weeks engineering</w:t>
            </w:r>
          </w:p>
        </w:tc>
      </w:tr>
      <w:tr>
        <w:tc>
          <w:tcPr>
            <w:tcW w:type="dxa" w:w="4000"/>
            <w:shd w:fill="FAFAFA" w:val="clear"/>
            <w:tcMar>
              <w:top w:type="dxa" w:w="80"/>
              <w:left w:type="dxa" w:w="120"/>
              <w:bottom w:type="dxa" w:w="80"/>
              <w:right w:type="dxa" w:w="120"/>
            </w:tcMar>
            <w:vAlign w:val="center"/>
          </w:tcPr>
          <w:p>
            <w:pPr>
              <w:spacing w:after="0"/>
            </w:pPr>
            <w:r>
              <w:rPr>
                <w:sz w:val="20"/>
                <w:szCs w:val="20"/>
              </w:rPr>
              <w:t xml:space="preserve">3. Authored domains (pilot area)</w:t>
            </w:r>
          </w:p>
        </w:tc>
        <w:tc>
          <w:tcPr>
            <w:tcW w:type="dxa" w:w="5350"/>
            <w:shd w:fill="FAFAFA" w:val="clear"/>
            <w:tcMar>
              <w:top w:type="dxa" w:w="80"/>
              <w:left w:type="dxa" w:w="120"/>
              <w:bottom w:type="dxa" w:w="80"/>
              <w:right w:type="dxa" w:w="120"/>
            </w:tcMar>
            <w:vAlign w:val="center"/>
          </w:tcPr>
          <w:p>
            <w:pPr>
              <w:spacing w:after="0"/>
            </w:pPr>
            <w:r>
              <w:rPr>
                <w:sz w:val="20"/>
                <w:szCs w:val="20"/>
              </w:rPr>
              <w:t xml:space="preserve">Approximately 2–4 days per owning team</w:t>
            </w:r>
          </w:p>
        </w:tc>
      </w:tr>
      <w:tr>
        <w:tc>
          <w:tcPr>
            <w:tcW w:type="dxa" w:w="4000"/>
            <w:tcMar>
              <w:top w:type="dxa" w:w="80"/>
              <w:left w:type="dxa" w:w="120"/>
              <w:bottom w:type="dxa" w:w="80"/>
              <w:right w:type="dxa" w:w="120"/>
            </w:tcMar>
            <w:vAlign w:val="center"/>
          </w:tcPr>
          <w:p>
            <w:pPr>
              <w:spacing w:after="0"/>
            </w:pPr>
            <w:r>
              <w:rPr>
                <w:sz w:val="20"/>
                <w:szCs w:val="20"/>
              </w:rPr>
              <w:t xml:space="preserve">4. Validation and arbitration</w:t>
            </w:r>
          </w:p>
        </w:tc>
        <w:tc>
          <w:tcPr>
            <w:tcW w:type="dxa" w:w="5350"/>
            <w:tcMar>
              <w:top w:type="dxa" w:w="80"/>
              <w:left w:type="dxa" w:w="120"/>
              <w:bottom w:type="dxa" w:w="80"/>
              <w:right w:type="dxa" w:w="120"/>
            </w:tcMar>
            <w:vAlign w:val="center"/>
          </w:tcPr>
          <w:p>
            <w:pPr>
              <w:spacing w:after="0"/>
            </w:pPr>
            <w:r>
              <w:rPr>
                <w:sz w:val="20"/>
                <w:szCs w:val="20"/>
              </w:rPr>
              <w:t xml:space="preserve">Approximately 2 days, Development plus QA</w:t>
            </w:r>
          </w:p>
        </w:tc>
      </w:tr>
      <w:tr>
        <w:tc>
          <w:tcPr>
            <w:tcW w:type="dxa" w:w="4000"/>
            <w:shd w:fill="FAFAFA" w:val="clear"/>
            <w:tcMar>
              <w:top w:type="dxa" w:w="80"/>
              <w:left w:type="dxa" w:w="120"/>
              <w:bottom w:type="dxa" w:w="80"/>
              <w:right w:type="dxa" w:w="120"/>
            </w:tcMar>
            <w:vAlign w:val="center"/>
          </w:tcPr>
          <w:p>
            <w:pPr>
              <w:spacing w:after="0"/>
            </w:pPr>
            <w:r>
              <w:rPr>
                <w:sz w:val="20"/>
                <w:szCs w:val="20"/>
              </w:rPr>
              <w:t xml:space="preserve">5. Copilot wiring</w:t>
            </w:r>
          </w:p>
        </w:tc>
        <w:tc>
          <w:tcPr>
            <w:tcW w:type="dxa" w:w="5350"/>
            <w:shd w:fill="FAFAFA" w:val="clear"/>
            <w:tcMar>
              <w:top w:type="dxa" w:w="80"/>
              <w:left w:type="dxa" w:w="120"/>
              <w:bottom w:type="dxa" w:w="80"/>
              <w:right w:type="dxa" w:w="120"/>
            </w:tcMar>
            <w:vAlign w:val="center"/>
          </w:tcPr>
          <w:p>
            <w:pPr>
              <w:spacing w:after="0"/>
            </w:pPr>
            <w:r>
              <w:rPr>
                <w:sz w:val="20"/>
                <w:szCs w:val="20"/>
              </w:rPr>
              <w:t xml:space="preserve">Approximately 1 week engineering</w:t>
            </w:r>
          </w:p>
        </w:tc>
      </w:tr>
      <w:tr>
        <w:tc>
          <w:tcPr>
            <w:tcW w:type="dxa" w:w="4000"/>
            <w:tcMar>
              <w:top w:type="dxa" w:w="80"/>
              <w:left w:type="dxa" w:w="120"/>
              <w:bottom w:type="dxa" w:w="80"/>
              <w:right w:type="dxa" w:w="120"/>
            </w:tcMar>
            <w:vAlign w:val="center"/>
          </w:tcPr>
          <w:p>
            <w:pPr>
              <w:spacing w:after="0"/>
            </w:pPr>
            <w:r>
              <w:rPr>
                <w:sz w:val="20"/>
                <w:szCs w:val="20"/>
              </w:rPr>
              <w:t xml:space="preserve">6. Evaluate</w:t>
            </w:r>
          </w:p>
        </w:tc>
        <w:tc>
          <w:tcPr>
            <w:tcW w:type="dxa" w:w="5350"/>
            <w:tcMar>
              <w:top w:type="dxa" w:w="80"/>
              <w:left w:type="dxa" w:w="120"/>
              <w:bottom w:type="dxa" w:w="80"/>
              <w:right w:type="dxa" w:w="120"/>
            </w:tcMar>
            <w:vAlign w:val="center"/>
          </w:tcPr>
          <w:p>
            <w:pPr>
              <w:spacing w:after="0"/>
            </w:pPr>
            <w:r>
              <w:rPr>
                <w:sz w:val="20"/>
                <w:szCs w:val="20"/>
              </w:rPr>
              <w:t xml:space="preserve">Approximately 1 week, plus reviewer time for 20 tasks</w:t>
            </w:r>
          </w:p>
        </w:tc>
      </w:tr>
      <w:tr>
        <w:tc>
          <w:tcPr>
            <w:tcW w:type="dxa" w:w="4000"/>
            <w:shd w:fill="FAFAFA" w:val="clear"/>
            <w:tcMar>
              <w:top w:type="dxa" w:w="80"/>
              <w:left w:type="dxa" w:w="120"/>
              <w:bottom w:type="dxa" w:w="80"/>
              <w:right w:type="dxa" w:w="120"/>
            </w:tcMar>
            <w:vAlign w:val="center"/>
          </w:tcPr>
          <w:p>
            <w:pPr>
              <w:spacing w:after="0"/>
            </w:pPr>
            <w:r>
              <w:rPr>
                <w:sz w:val="20"/>
                <w:szCs w:val="20"/>
              </w:rPr>
              <w:t xml:space="preserve">Steady state per team</w:t>
            </w:r>
          </w:p>
        </w:tc>
        <w:tc>
          <w:tcPr>
            <w:tcW w:type="dxa" w:w="5350"/>
            <w:shd w:fill="FAFAFA" w:val="clear"/>
            <w:tcMar>
              <w:top w:type="dxa" w:w="80"/>
              <w:left w:type="dxa" w:w="120"/>
              <w:bottom w:type="dxa" w:w="80"/>
              <w:right w:type="dxa" w:w="120"/>
            </w:tcMar>
            <w:vAlign w:val="center"/>
          </w:tcPr>
          <w:p>
            <w:pPr>
              <w:spacing w:after="0"/>
            </w:pPr>
            <w:r>
              <w:rPr>
                <w:sz w:val="20"/>
                <w:szCs w:val="20"/>
              </w:rPr>
              <w:t xml:space="preserve">Target under 2 hours per sprint — measured as a metric in Section 11, not assumed</w:t>
            </w:r>
          </w:p>
        </w:tc>
      </w:tr>
    </w:tbl>
    <w:p>
      <w:pPr>
        <w:spacing w:after="120"/>
      </w:pPr>
    </w:p>
    <w:p>
      <w:pPr>
        <w:spacing w:after="160" w:line="276"/>
      </w:pPr>
      <w:r>
        <w:t xml:space="preserve">The steady-state figure is the number that determines whether this survives. It is deliberately a measured metric rather than an estimate.</w:t>
      </w:r>
    </w:p>
    <w:p>
      <w:pPr>
        <w:pStyle w:val="Heading2"/>
        <w:spacing w:after="150" w:before="300"/>
      </w:pPr>
      <w:r>
        <w:t xml:space="preserve">12.11 Exit Criteria</w:t>
      </w:r>
    </w:p>
    <w:p>
      <w:pPr>
        <w:spacing w:after="160" w:line="276"/>
      </w:pPr>
      <w:r>
        <w:t xml:space="preserve">Phase 5 has pass/fail criteria (Section 14.1). Phase 6 must have them too, or the evaluation becomes a formality that momentum wins.</w:t>
      </w:r>
    </w:p>
    <w:p>
      <w:pPr>
        <w:pStyle w:val="ListParagraph"/>
        <w:numPr>
          <w:ilvl w:val="0"/>
          <w:numId w:val="1"/>
        </w:numPr>
        <w:spacing w:after="80" w:line="276"/>
      </w:pPr>
      <w:r>
        <w:t xml:space="preserve">Continue to scale-out when: agent output quality improves measurably against the no-AKL baseline; coverage in the pilot area exceeds 70 percent; and steady-state authoring cost is under the target above.</w:t>
      </w:r>
    </w:p>
    <w:p>
      <w:pPr>
        <w:pStyle w:val="ListParagraph"/>
        <w:numPr>
          <w:ilvl w:val="0"/>
          <w:numId w:val="1"/>
        </w:numPr>
        <w:spacing w:after="80" w:line="276"/>
      </w:pPr>
      <w:r>
        <w:t xml:space="preserve">Stop or reduce scope when: there is no measurable output improvement; or steady-state authoring cost exceeds roughly 4 hours per team per sprint; or coverage stalls below 40 percent despite the phase completing.</w:t>
      </w:r>
    </w:p>
    <w:p>
      <w:pPr>
        <w:pStyle w:val="ListParagraph"/>
        <w:numPr>
          <w:ilvl w:val="0"/>
          <w:numId w:val="1"/>
        </w:numPr>
        <w:spacing w:after="80" w:line="276"/>
      </w:pPr>
      <w:r>
        <w:t xml:space="preserve">If stopped: derived domains are retained regardless, being near-zero cost and independently useful. Authored domains are either narrowed to the highest-value subset — typically business-rules and anti-patterns — or archived with a pointer from the wiki. The exit is a scope reduction, not a deletion.</w:t>
      </w:r>
    </w:p>
    <w:p>
      <w:pPr>
        <w:spacing w:after="120"/>
      </w:pPr>
    </w:p>
    <w:p>
      <w:pPr>
        <w:spacing w:after="160" w:line="276"/>
      </w:pPr>
      <w:r>
        <w:t xml:space="preserve">Pre-committing to these thresholds before the data exists is what makes the evaluation credible, and is the protection against sunk-cost reasoning.</w:t>
      </w:r>
    </w:p>
    <w:p>
      <w:r>
        <w:br w:type="page"/>
      </w:r>
    </w:p>
    <w:p>
      <w:pPr>
        <w:pStyle w:val="Heading1"/>
        <w:spacing w:after="200" w:before="400"/>
      </w:pPr>
      <w:r>
        <w:t xml:space="preserve">13. Precedent &amp; Industry Validation</w:t>
      </w:r>
    </w:p>
    <w:p>
      <w:pPr>
        <w:spacing w:after="160" w:line="276"/>
      </w:pPr>
      <w:r>
        <w:rPr>
          <w:b/>
          <w:bCs/>
          <w:color w:val="1F3864"/>
        </w:rPr>
        <w:t xml:space="preserve">The framing for review: </w:t>
      </w:r>
      <w:r>
        <w:t xml:space="preserve">Nothing in this design is unproven except the combination. Each load-bearing decision maps to an established practice with independent evidence at enterprise scale. This section exists so reviewers can check the design against prior art rather than take it on faith.</w:t>
      </w:r>
    </w:p>
    <w:p>
      <w:pPr>
        <w:pStyle w:val="Heading2"/>
        <w:spacing w:after="150" w:before="300"/>
      </w:pPr>
      <w:r>
        <w:t xml:space="preserve">13.1 Docs-as-Code in the Repository — Spotify Backstage / TechDocs</w:t>
      </w:r>
    </w:p>
    <w:p>
      <w:pPr>
        <w:spacing w:after="160" w:line="276"/>
      </w:pPr>
      <w:r>
        <w:t xml:space="preserve">The closest large-scale analogue to this proposal. Spotify's engineers write technical documentation in Markdown that lives alongside the code; CI builds the documentation site, and metadata such as owner is layered on top — the same shape as our frontmatter and generation pipeline.</w:t>
      </w:r>
    </w:p>
    <w:p>
      <w:pPr>
        <w:pStyle w:val="ListParagraph"/>
        <w:numPr>
          <w:ilvl w:val="0"/>
          <w:numId w:val="1"/>
        </w:numPr>
        <w:spacing w:after="80" w:line="276"/>
      </w:pPr>
      <w:r>
        <w:t xml:space="preserve">TechDocs runs more than 5,000 documentation sites with approximately 10,000 average daily hits.</w:t>
      </w:r>
    </w:p>
    <w:p>
      <w:pPr>
        <w:pStyle w:val="ListParagraph"/>
        <w:numPr>
          <w:ilvl w:val="0"/>
          <w:numId w:val="1"/>
        </w:numPr>
        <w:spacing w:after="80" w:line="276"/>
      </w:pPr>
      <w:r>
        <w:t xml:space="preserve">It is Spotify's most-used Backstage plugin at roughly 20 percent of all traffic despite being one of over 130 plugins — which Spotify attributes directly to the docs-like-code approach making documentation something people actually use.</w:t>
      </w:r>
    </w:p>
    <w:p>
      <w:pPr>
        <w:pStyle w:val="ListParagraph"/>
        <w:numPr>
          <w:ilvl w:val="0"/>
          <w:numId w:val="1"/>
        </w:numPr>
        <w:spacing w:after="80" w:line="276"/>
      </w:pPr>
      <w:r>
        <w:t xml:space="preserve">Backstage has been adopted by more than 3,400 companies, including American Airlines, Expedia, LinkedIn, HP, Siemens, Vodafone, Mercedes-Benz, IKEA and CVS Health. Expedia rolled it out to over 5,000 developers across 15+ brands and approximately 20,000 microservices.</w:t>
      </w:r>
    </w:p>
    <w:p>
      <w:pPr>
        <w:pStyle w:val="ListParagraph"/>
        <w:numPr>
          <w:ilvl w:val="0"/>
          <w:numId w:val="1"/>
        </w:numPr>
        <w:spacing w:after="80" w:line="276"/>
      </w:pPr>
      <w:r>
        <w:t xml:space="preserve">Google runs the same pattern internally through its g3doc tool, which locates documentation next to the source code.</w:t>
      </w:r>
    </w:p>
    <w:p>
      <w:pPr>
        <w:spacing w:after="120"/>
      </w:pPr>
    </w:p>
    <w:p>
      <w:pPr>
        <w:spacing w:after="160" w:line="276"/>
      </w:pPr>
      <w:r>
        <w:rPr>
          <w:b/>
          <w:bCs/>
          <w:color w:val="1F3864"/>
        </w:rPr>
        <w:t xml:space="preserve">Counter-evidence we are deliberately hedging against: </w:t>
      </w:r>
      <w:r>
        <w:t xml:space="preserve">Backstage rollouts at enterprise scale have a known reputation for becoming six-to-twelve-month efforts. Our bounded single-feature pilot is the direct response — this is not a platform programme.</w:t>
      </w:r>
    </w:p>
    <w:p>
      <w:pPr>
        <w:pStyle w:val="Heading2"/>
        <w:spacing w:after="150" w:before="300"/>
      </w:pPr>
      <w:r>
        <w:t xml:space="preserve">13.2 Derived, Not Authored — API and Specification Governance</w:t>
      </w:r>
    </w:p>
    <w:p>
      <w:pPr>
        <w:spacing w:after="160" w:line="276"/>
      </w:pPr>
      <w:r>
        <w:t xml:space="preserve">The decision in Section 4 to generate rather than hand-write schema and contract documents is the best-evidenced choice in this design.</w:t>
      </w:r>
    </w:p>
    <w:p>
      <w:pPr>
        <w:pStyle w:val="ListParagraph"/>
        <w:numPr>
          <w:ilvl w:val="0"/>
          <w:numId w:val="1"/>
        </w:numPr>
        <w:spacing w:after="80" w:line="276"/>
      </w:pPr>
      <w:r>
        <w:t xml:space="preserve">Approximately 75 percent of production APIs do not match their specifications, causing security audit failures and broken integrations.</w:t>
      </w:r>
    </w:p>
    <w:p>
      <w:pPr>
        <w:pStyle w:val="ListParagraph"/>
        <w:numPr>
          <w:ilvl w:val="0"/>
          <w:numId w:val="1"/>
        </w:numPr>
        <w:spacing w:after="80" w:line="276"/>
      </w:pPr>
      <w:r>
        <w:t xml:space="preserve">Industry guidance frames the remedy exactly as we have: the fix is not better documentation discipline, but eliminating the gap where drift happens — governance enforced at the specification level means documentation cannot drift, because it rebuilds from the same contract CI validates.</w:t>
      </w:r>
    </w:p>
    <w:p>
      <w:pPr>
        <w:pStyle w:val="ListParagraph"/>
        <w:numPr>
          <w:ilvl w:val="0"/>
          <w:numId w:val="1"/>
        </w:numPr>
        <w:spacing w:after="80" w:line="276"/>
      </w:pPr>
      <w:r>
        <w:t xml:space="preserve">The OpenAPI Initiative recommends a single source of truth and warns against duplicating API information in multiple places, with CI verification that code and specification agree. Our generated-block markers and integrity check implement precisely that.</w:t>
      </w:r>
    </w:p>
    <w:p>
      <w:pPr>
        <w:pStyle w:val="Heading2"/>
        <w:spacing w:after="150" w:before="300"/>
      </w:pPr>
      <w:r>
        <w:t xml:space="preserve">13.3 Agent Context Files — Now a Formal Open Standard</w:t>
      </w:r>
    </w:p>
    <w:p>
      <w:pPr>
        <w:spacing w:after="160" w:line="276"/>
      </w:pPr>
      <w:r>
        <w:t xml:space="preserve">The AI-facing half of this design is not speculative.</w:t>
      </w:r>
    </w:p>
    <w:p>
      <w:pPr>
        <w:pStyle w:val="ListParagraph"/>
        <w:numPr>
          <w:ilvl w:val="0"/>
          <w:numId w:val="1"/>
        </w:numPr>
        <w:spacing w:after="80" w:line="276"/>
      </w:pPr>
      <w:r>
        <w:t xml:space="preserve">The AGENTS.md convention was formalised as an open specification in August 2025, led by OpenAI with Google, Cursor and Factory; donated to the Linux Foundation's Agentic AI Foundation in December 2025; and by December 2025 had more than 60,000 open-source projects adopting it across 20+ supporting tools.</w:t>
      </w:r>
    </w:p>
    <w:p>
      <w:pPr>
        <w:pStyle w:val="ListParagraph"/>
        <w:numPr>
          <w:ilvl w:val="0"/>
          <w:numId w:val="1"/>
        </w:numPr>
        <w:spacing w:after="80" w:line="276"/>
      </w:pPr>
      <w:r>
        <w:t xml:space="preserve">Scoped context over monolithic files is the documented best practice: large repositories require scoped context because a single root file cannot encode module-specific constraints without becoming noisy. This validates the applyTo design in Section 9.</w:t>
      </w:r>
    </w:p>
    <w:p>
      <w:pPr>
        <w:pStyle w:val="ListParagraph"/>
        <w:numPr>
          <w:ilvl w:val="0"/>
          <w:numId w:val="1"/>
        </w:numPr>
        <w:spacing w:after="80" w:line="276"/>
      </w:pPr>
      <w:r>
        <w:t xml:space="preserve">Staleness harms agents more than humans: stale documents merely annoy humans, who carry enough skepticism to discount them, but agents read documentation on every request, so stale information actively poisons context. This is the strongest available justification for churn-based staleness detection in Section 8.2.</w:t>
      </w:r>
    </w:p>
    <w:p>
      <w:pPr>
        <w:pStyle w:val="ListParagraph"/>
        <w:numPr>
          <w:ilvl w:val="0"/>
          <w:numId w:val="1"/>
        </w:numPr>
        <w:spacing w:after="80" w:line="276"/>
      </w:pPr>
      <w:r>
        <w:t xml:space="preserve">Peer-reviewed work now describes agent context files as persistent long-term memory that spares developers from re-explaining rules. A study of 466 projects found no established content structure yet and wide variation in how context is provided — the governed structure proposed here is precisely what most adopters currently lack.</w:t>
      </w:r>
    </w:p>
    <w:p>
      <w:pPr>
        <w:pStyle w:val="Heading2"/>
        <w:spacing w:after="150" w:before="300"/>
      </w:pPr>
      <w:r>
        <w:t xml:space="preserve">13.4 Federated Governance — Proven in the Data Domain</w:t>
      </w:r>
    </w:p>
    <w:p>
      <w:pPr>
        <w:spacing w:after="160" w:line="276"/>
      </w:pPr>
      <w:r>
        <w:t xml:space="preserve">Our model is federated computational governance, drawn from data mesh, applied to application knowledge. Global governance ensures interoperability and enforces organisation-wide standards while sovereign domains govern their own products, with the centralisation-versus-decentralisation balance being the acknowledged challenge — which Section 6 addresses by restricting governance review to _governance/ alone. The computational half validates Section 7: this approach implements governance, security, compliance and quality as code, using declarative policies and scripts to ensure consistency and automate routine compliance checks rather than relying on manual audit.</w:t>
      </w:r>
    </w:p>
    <w:p>
      <w:pPr>
        <w:pStyle w:val="Heading2"/>
        <w:spacing w:after="150" w:before="300"/>
      </w:pPr>
      <w:r>
        <w:t xml:space="preserve">13.5 Architecture Decision Records — The Most Settled Practice Here</w:t>
      </w:r>
    </w:p>
    <w:p>
      <w:pPr>
        <w:spacing w:after="160" w:line="276"/>
      </w:pPr>
      <w:r>
        <w:t xml:space="preserve">Thoughtworks placed Lightweight Architecture Decision Records in the Adopt ring of its Technology Radar, specifically recommending source control over a wiki so the record stays in sync with the code, and stating they see no reason most projects would not use the technique. Practitioner guidance goes further: where the records live is the single biggest determinant of whether the practice survives, and they should sit in the same repository as the code in a stable directory. Our placement of the decisions domain follows this directly.</w:t>
      </w:r>
    </w:p>
    <w:p>
      <w:pPr>
        <w:pStyle w:val="Heading2"/>
        <w:spacing w:after="150" w:before="300"/>
      </w:pPr>
      <w:r>
        <w:t xml:space="preserve">13.6 What Is Genuinely Novel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1F3864" w:val="clear"/>
            <w:tcMar>
              <w:top w:type="dxa" w:w="80"/>
              <w:left w:type="dxa" w:w="120"/>
              <w:bottom w:type="dxa" w:w="80"/>
              <w:right w:type="dxa" w:w="120"/>
            </w:tcMar>
            <w:vAlign w:val="center"/>
          </w:tcPr>
          <w:p>
            <w:pPr>
              <w:spacing w:after="0"/>
            </w:pPr>
            <w:r>
              <w:rPr>
                <w:b/>
                <w:bCs/>
                <w:color w:val="FFFFFF"/>
                <w:sz w:val="20"/>
                <w:szCs w:val="20"/>
              </w:rPr>
              <w:t xml:space="preserve">Component</w:t>
            </w:r>
          </w:p>
        </w:tc>
        <w:tc>
          <w:tcPr>
            <w:tcW w:type="dxa" w:w="4750"/>
            <w:shd w:fill="1F3864" w:val="clear"/>
            <w:tcMar>
              <w:top w:type="dxa" w:w="80"/>
              <w:left w:type="dxa" w:w="120"/>
              <w:bottom w:type="dxa" w:w="80"/>
              <w:right w:type="dxa" w:w="120"/>
            </w:tcMar>
            <w:vAlign w:val="center"/>
          </w:tcPr>
          <w:p>
            <w:pPr>
              <w:spacing w:after="0"/>
            </w:pPr>
            <w:r>
              <w:rPr>
                <w:b/>
                <w:bCs/>
                <w:color w:val="FFFFFF"/>
                <w:sz w:val="20"/>
                <w:szCs w:val="20"/>
              </w:rPr>
              <w:t xml:space="preserve">Status</w:t>
            </w:r>
          </w:p>
        </w:tc>
      </w:tr>
      <w:tr>
        <w:tc>
          <w:tcPr>
            <w:tcW w:type="dxa" w:w="4600"/>
            <w:tcMar>
              <w:top w:type="dxa" w:w="80"/>
              <w:left w:type="dxa" w:w="120"/>
              <w:bottom w:type="dxa" w:w="80"/>
              <w:right w:type="dxa" w:w="120"/>
            </w:tcMar>
            <w:vAlign w:val="center"/>
          </w:tcPr>
          <w:p>
            <w:pPr>
              <w:spacing w:after="0"/>
            </w:pPr>
            <w:r>
              <w:rPr>
                <w:sz w:val="20"/>
                <w:szCs w:val="20"/>
              </w:rPr>
              <w:t xml:space="preserve">Docs-as-code, owner metadata, PR review</w:t>
            </w:r>
          </w:p>
        </w:tc>
        <w:tc>
          <w:tcPr>
            <w:tcW w:type="dxa" w:w="4750"/>
            <w:tcMar>
              <w:top w:type="dxa" w:w="80"/>
              <w:left w:type="dxa" w:w="120"/>
              <w:bottom w:type="dxa" w:w="80"/>
              <w:right w:type="dxa" w:w="120"/>
            </w:tcMar>
            <w:vAlign w:val="center"/>
          </w:tcPr>
          <w:p>
            <w:pPr>
              <w:spacing w:after="0"/>
            </w:pPr>
            <w:r>
              <w:rPr>
                <w:sz w:val="20"/>
                <w:szCs w:val="20"/>
              </w:rPr>
              <w:t xml:space="preserve">Proven — Spotify, Google, 3,400+ companies</w:t>
            </w:r>
          </w:p>
        </w:tc>
      </w:tr>
      <w:tr>
        <w:tc>
          <w:tcPr>
            <w:tcW w:type="dxa" w:w="4600"/>
            <w:shd w:fill="FAFAFA" w:val="clear"/>
            <w:tcMar>
              <w:top w:type="dxa" w:w="80"/>
              <w:left w:type="dxa" w:w="120"/>
              <w:bottom w:type="dxa" w:w="80"/>
              <w:right w:type="dxa" w:w="120"/>
            </w:tcMar>
            <w:vAlign w:val="center"/>
          </w:tcPr>
          <w:p>
            <w:pPr>
              <w:spacing w:after="0"/>
            </w:pPr>
            <w:r>
              <w:rPr>
                <w:sz w:val="20"/>
                <w:szCs w:val="20"/>
              </w:rPr>
              <w:t xml:space="preserve">Specification and migrations as generated source of truth</w:t>
            </w:r>
          </w:p>
        </w:tc>
        <w:tc>
          <w:tcPr>
            <w:tcW w:type="dxa" w:w="4750"/>
            <w:shd w:fill="FAFAFA" w:val="clear"/>
            <w:tcMar>
              <w:top w:type="dxa" w:w="80"/>
              <w:left w:type="dxa" w:w="120"/>
              <w:bottom w:type="dxa" w:w="80"/>
              <w:right w:type="dxa" w:w="120"/>
            </w:tcMar>
            <w:vAlign w:val="center"/>
          </w:tcPr>
          <w:p>
            <w:pPr>
              <w:spacing w:after="0"/>
            </w:pPr>
            <w:r>
              <w:rPr>
                <w:sz w:val="20"/>
                <w:szCs w:val="20"/>
              </w:rPr>
              <w:t xml:space="preserve">Standard API governance practice</w:t>
            </w:r>
          </w:p>
        </w:tc>
      </w:tr>
      <w:tr>
        <w:tc>
          <w:tcPr>
            <w:tcW w:type="dxa" w:w="4600"/>
            <w:tcMar>
              <w:top w:type="dxa" w:w="80"/>
              <w:left w:type="dxa" w:w="120"/>
              <w:bottom w:type="dxa" w:w="80"/>
              <w:right w:type="dxa" w:w="120"/>
            </w:tcMar>
            <w:vAlign w:val="center"/>
          </w:tcPr>
          <w:p>
            <w:pPr>
              <w:spacing w:after="0"/>
            </w:pPr>
            <w:r>
              <w:rPr>
                <w:sz w:val="20"/>
                <w:szCs w:val="20"/>
              </w:rPr>
              <w:t xml:space="preserve">Federated computational governance</w:t>
            </w:r>
          </w:p>
        </w:tc>
        <w:tc>
          <w:tcPr>
            <w:tcW w:type="dxa" w:w="4750"/>
            <w:tcMar>
              <w:top w:type="dxa" w:w="80"/>
              <w:left w:type="dxa" w:w="120"/>
              <w:bottom w:type="dxa" w:w="80"/>
              <w:right w:type="dxa" w:w="120"/>
            </w:tcMar>
            <w:vAlign w:val="center"/>
          </w:tcPr>
          <w:p>
            <w:pPr>
              <w:spacing w:after="0"/>
            </w:pPr>
            <w:r>
              <w:rPr>
                <w:sz w:val="20"/>
                <w:szCs w:val="20"/>
              </w:rPr>
              <w:t xml:space="preserve">Proven in data mesh at enterprise scale</w:t>
            </w:r>
          </w:p>
        </w:tc>
      </w:tr>
      <w:tr>
        <w:tc>
          <w:tcPr>
            <w:tcW w:type="dxa" w:w="4600"/>
            <w:shd w:fill="FAFAFA" w:val="clear"/>
            <w:tcMar>
              <w:top w:type="dxa" w:w="80"/>
              <w:left w:type="dxa" w:w="120"/>
              <w:bottom w:type="dxa" w:w="80"/>
              <w:right w:type="dxa" w:w="120"/>
            </w:tcMar>
            <w:vAlign w:val="center"/>
          </w:tcPr>
          <w:p>
            <w:pPr>
              <w:spacing w:after="0"/>
            </w:pPr>
            <w:r>
              <w:rPr>
                <w:sz w:val="20"/>
                <w:szCs w:val="20"/>
              </w:rPr>
              <w:t xml:space="preserve">Architecture Decision Records in source control</w:t>
            </w:r>
          </w:p>
        </w:tc>
        <w:tc>
          <w:tcPr>
            <w:tcW w:type="dxa" w:w="4750"/>
            <w:shd w:fill="FAFAFA" w:val="clear"/>
            <w:tcMar>
              <w:top w:type="dxa" w:w="80"/>
              <w:left w:type="dxa" w:w="120"/>
              <w:bottom w:type="dxa" w:w="80"/>
              <w:right w:type="dxa" w:w="120"/>
            </w:tcMar>
            <w:vAlign w:val="center"/>
          </w:tcPr>
          <w:p>
            <w:pPr>
              <w:spacing w:after="0"/>
            </w:pPr>
            <w:r>
              <w:rPr>
                <w:sz w:val="20"/>
                <w:szCs w:val="20"/>
              </w:rPr>
              <w:t xml:space="preserve">Thoughtworks “Adopt”</w:t>
            </w:r>
          </w:p>
        </w:tc>
      </w:tr>
      <w:tr>
        <w:tc>
          <w:tcPr>
            <w:tcW w:type="dxa" w:w="4600"/>
            <w:tcMar>
              <w:top w:type="dxa" w:w="80"/>
              <w:left w:type="dxa" w:w="120"/>
              <w:bottom w:type="dxa" w:w="80"/>
              <w:right w:type="dxa" w:w="120"/>
            </w:tcMar>
            <w:vAlign w:val="center"/>
          </w:tcPr>
          <w:p>
            <w:pPr>
              <w:spacing w:after="0"/>
            </w:pPr>
            <w:r>
              <w:rPr>
                <w:sz w:val="20"/>
                <w:szCs w:val="20"/>
              </w:rPr>
              <w:t xml:space="preserve">Agent context files, scoped hierarchically</w:t>
            </w:r>
          </w:p>
        </w:tc>
        <w:tc>
          <w:tcPr>
            <w:tcW w:type="dxa" w:w="4750"/>
            <w:tcMar>
              <w:top w:type="dxa" w:w="80"/>
              <w:left w:type="dxa" w:w="120"/>
              <w:bottom w:type="dxa" w:w="80"/>
              <w:right w:type="dxa" w:w="120"/>
            </w:tcMar>
            <w:vAlign w:val="center"/>
          </w:tcPr>
          <w:p>
            <w:pPr>
              <w:spacing w:after="0"/>
            </w:pPr>
            <w:r>
              <w:rPr>
                <w:sz w:val="20"/>
                <w:szCs w:val="20"/>
              </w:rPr>
              <w:t xml:space="preserve">Linux Foundation standard, 60,000+ adopters</w:t>
            </w:r>
          </w:p>
        </w:tc>
      </w:tr>
      <w:tr>
        <w:tc>
          <w:tcPr>
            <w:tcW w:type="dxa" w:w="4600"/>
            <w:shd w:fill="FAFAFA" w:val="clear"/>
            <w:tcMar>
              <w:top w:type="dxa" w:w="80"/>
              <w:left w:type="dxa" w:w="120"/>
              <w:bottom w:type="dxa" w:w="80"/>
              <w:right w:type="dxa" w:w="120"/>
            </w:tcMar>
            <w:vAlign w:val="center"/>
          </w:tcPr>
          <w:p>
            <w:pPr>
              <w:spacing w:after="0"/>
            </w:pPr>
            <w:r>
              <w:rPr>
                <w:sz w:val="20"/>
                <w:szCs w:val="20"/>
              </w:rPr>
              <w:t xml:space="preserve">Unifying all of the above into one governed layer serving humans and agents</w:t>
            </w:r>
          </w:p>
        </w:tc>
        <w:tc>
          <w:tcPr>
            <w:tcW w:type="dxa" w:w="4750"/>
            <w:shd w:fill="FAFAFA" w:val="clear"/>
            <w:tcMar>
              <w:top w:type="dxa" w:w="80"/>
              <w:left w:type="dxa" w:w="120"/>
              <w:bottom w:type="dxa" w:w="80"/>
              <w:right w:type="dxa" w:w="120"/>
            </w:tcMar>
            <w:vAlign w:val="center"/>
          </w:tcPr>
          <w:p>
            <w:pPr>
              <w:spacing w:after="0"/>
            </w:pPr>
            <w:r>
              <w:rPr>
                <w:sz w:val="20"/>
                <w:szCs w:val="20"/>
              </w:rPr>
              <w:t xml:space="preserve">Novel — this is what the Phase 6 evaluation tests</w:t>
            </w:r>
          </w:p>
        </w:tc>
      </w:tr>
    </w:tbl>
    <w:p>
      <w:pPr>
        <w:spacing w:after="120"/>
      </w:pPr>
    </w:p>
    <w:p>
      <w:pPr>
        <w:spacing w:after="160" w:line="276"/>
      </w:pPr>
      <w:r>
        <w:t xml:space="preserve">The ask is therefore not faith in an unproven idea. It is a bounded pilot to test whether a set of individually proven practices composes well in our environment.</w:t>
      </w:r>
    </w:p>
    <w:p>
      <w:r>
        <w:br w:type="page"/>
      </w:r>
    </w:p>
    <w:p>
      <w:pPr>
        <w:pStyle w:val="Heading1"/>
        <w:spacing w:after="200" w:before="400"/>
      </w:pPr>
      <w:r>
        <w:t xml:space="preserve">14. Rollout Plan</w:t>
      </w:r>
    </w:p>
    <w:p>
      <w:pPr>
        <w:spacing w:after="160" w:line="276"/>
      </w:pPr>
      <w:r>
        <w:t xml:space="preserve">Sequenced by dependency and risk. Each phase is scoped to a single pilot feature area before scaling to the full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800"/>
        <w:gridCol w:w="1550"/>
      </w:tblGrid>
      <w:tr>
        <w:trPr>
          <w:tblHeader/>
        </w:trPr>
        <w:tc>
          <w:tcPr>
            <w:tcW w:type="dxa" w:w="1900"/>
            <w:shd w:fill="1F3864" w:val="clear"/>
            <w:tcMar>
              <w:top w:type="dxa" w:w="80"/>
              <w:left w:type="dxa" w:w="120"/>
              <w:bottom w:type="dxa" w:w="80"/>
              <w:right w:type="dxa" w:w="120"/>
            </w:tcMar>
            <w:vAlign w:val="center"/>
          </w:tcPr>
          <w:p>
            <w:pPr>
              <w:spacing w:after="0"/>
            </w:pPr>
            <w:r>
              <w:rPr>
                <w:b/>
                <w:bCs/>
                <w:color w:val="FFFFFF"/>
                <w:sz w:val="20"/>
                <w:szCs w:val="20"/>
              </w:rPr>
              <w:t xml:space="preserve">Phase</w:t>
            </w:r>
          </w:p>
        </w:tc>
        <w:tc>
          <w:tcPr>
            <w:tcW w:type="dxa" w:w="2100"/>
            <w:shd w:fill="1F3864" w:val="clear"/>
            <w:tcMar>
              <w:top w:type="dxa" w:w="80"/>
              <w:left w:type="dxa" w:w="120"/>
              <w:bottom w:type="dxa" w:w="80"/>
              <w:right w:type="dxa" w:w="120"/>
            </w:tcMar>
            <w:vAlign w:val="center"/>
          </w:tcPr>
          <w:p>
            <w:pPr>
              <w:spacing w:after="0"/>
            </w:pPr>
            <w:r>
              <w:rPr>
                <w:b/>
                <w:bCs/>
                <w:color w:val="FFFFFF"/>
                <w:sz w:val="20"/>
                <w:szCs w:val="20"/>
              </w:rPr>
              <w:t xml:space="preserve">Owner</w:t>
            </w:r>
          </w:p>
        </w:tc>
        <w:tc>
          <w:tcPr>
            <w:tcW w:type="dxa" w:w="3800"/>
            <w:shd w:fill="1F3864" w:val="clear"/>
            <w:tcMar>
              <w:top w:type="dxa" w:w="80"/>
              <w:left w:type="dxa" w:w="120"/>
              <w:bottom w:type="dxa" w:w="80"/>
              <w:right w:type="dxa" w:w="120"/>
            </w:tcMar>
            <w:vAlign w:val="center"/>
          </w:tcPr>
          <w:p>
            <w:pPr>
              <w:spacing w:after="0"/>
            </w:pPr>
            <w:r>
              <w:rPr>
                <w:b/>
                <w:bCs/>
                <w:color w:val="FFFFFF"/>
                <w:sz w:val="20"/>
                <w:szCs w:val="20"/>
              </w:rPr>
              <w:t xml:space="preserve">Scope</w:t>
            </w:r>
          </w:p>
        </w:tc>
        <w:tc>
          <w:tcPr>
            <w:tcW w:type="dxa" w:w="1550"/>
            <w:shd w:fill="1F3864" w:val="clear"/>
            <w:tcMar>
              <w:top w:type="dxa" w:w="80"/>
              <w:left w:type="dxa" w:w="120"/>
              <w:bottom w:type="dxa" w:w="80"/>
              <w:right w:type="dxa" w:w="120"/>
            </w:tcMar>
            <w:vAlign w:val="center"/>
          </w:tcPr>
          <w:p>
            <w:pPr>
              <w:spacing w:after="0"/>
            </w:pPr>
            <w:r>
              <w:rPr>
                <w:b/>
                <w:bCs/>
                <w:color w:val="FFFFFF"/>
                <w:sz w:val="20"/>
                <w:szCs w:val="20"/>
              </w:rPr>
              <w:t xml:space="preserve">Depends on</w:t>
            </w:r>
          </w:p>
        </w:tc>
      </w:tr>
      <w:tr>
        <w:tc>
          <w:tcPr>
            <w:tcW w:type="dxa" w:w="1900"/>
            <w:tcMar>
              <w:top w:type="dxa" w:w="80"/>
              <w:left w:type="dxa" w:w="120"/>
              <w:bottom w:type="dxa" w:w="80"/>
              <w:right w:type="dxa" w:w="120"/>
            </w:tcMar>
            <w:vAlign w:val="center"/>
          </w:tcPr>
          <w:p>
            <w:pPr>
              <w:spacing w:after="0"/>
            </w:pPr>
            <w:r>
              <w:rPr>
                <w:sz w:val="20"/>
                <w:szCs w:val="20"/>
              </w:rPr>
              <w:t xml:space="preserve">0. Decide</w:t>
            </w:r>
          </w:p>
        </w:tc>
        <w:tc>
          <w:tcPr>
            <w:tcW w:type="dxa" w:w="2100"/>
            <w:tcMar>
              <w:top w:type="dxa" w:w="80"/>
              <w:left w:type="dxa" w:w="120"/>
              <w:bottom w:type="dxa" w:w="80"/>
              <w:right w:type="dxa" w:w="120"/>
            </w:tcMar>
            <w:vAlign w:val="center"/>
          </w:tcPr>
          <w:p>
            <w:pPr>
              <w:spacing w:after="0"/>
            </w:pPr>
            <w:r>
              <w:rPr>
                <w:sz w:val="20"/>
                <w:szCs w:val="20"/>
              </w:rPr>
              <w:t xml:space="preserve">Tech Mgmt + Architecture</w:t>
            </w:r>
          </w:p>
        </w:tc>
        <w:tc>
          <w:tcPr>
            <w:tcW w:type="dxa" w:w="3800"/>
            <w:tcMar>
              <w:top w:type="dxa" w:w="80"/>
              <w:left w:type="dxa" w:w="120"/>
              <w:bottom w:type="dxa" w:w="80"/>
              <w:right w:type="dxa" w:w="120"/>
            </w:tcMar>
            <w:vAlign w:val="center"/>
          </w:tcPr>
          <w:p>
            <w:pPr>
              <w:spacing w:after="0"/>
            </w:pPr>
            <w:r>
              <w:rPr>
                <w:sz w:val="20"/>
                <w:szCs w:val="20"/>
              </w:rPr>
              <w:t xml:space="preserve">ID namespacing, security posture and classification mapping, arbitration path, evaluation definition and baseline, named steward, AI-governance alignment, consumption path</w:t>
            </w:r>
          </w:p>
        </w:tc>
        <w:tc>
          <w:tcPr>
            <w:tcW w:type="dxa" w:w="1550"/>
            <w:tcMar>
              <w:top w:type="dxa" w:w="80"/>
              <w:left w:type="dxa" w:w="120"/>
              <w:bottom w:type="dxa" w:w="80"/>
              <w:right w:type="dxa" w:w="120"/>
            </w:tcMar>
            <w:vAlign w:val="center"/>
          </w:tcPr>
          <w:p>
            <w:pPr>
              <w:spacing w:after="0"/>
            </w:pPr>
            <w:r>
              <w:rPr>
                <w:sz w:val="20"/>
                <w:szCs w:val="20"/>
              </w:rPr>
              <w:t xml:space="preserve">—</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1. Foundation</w:t>
            </w:r>
          </w:p>
        </w:tc>
        <w:tc>
          <w:tcPr>
            <w:tcW w:type="dxa" w:w="2100"/>
            <w:shd w:fill="FAFAFA" w:val="clear"/>
            <w:tcMar>
              <w:top w:type="dxa" w:w="80"/>
              <w:left w:type="dxa" w:w="120"/>
              <w:bottom w:type="dxa" w:w="80"/>
              <w:right w:type="dxa" w:w="120"/>
            </w:tcMar>
            <w:vAlign w:val="center"/>
          </w:tcPr>
          <w:p>
            <w:pPr>
              <w:spacing w:after="0"/>
            </w:pPr>
            <w:r>
              <w:rPr>
                <w:sz w:val="20"/>
                <w:szCs w:val="20"/>
              </w:rPr>
              <w:t xml:space="preserve">BA + Dev</w:t>
            </w:r>
          </w:p>
        </w:tc>
        <w:tc>
          <w:tcPr>
            <w:tcW w:type="dxa" w:w="3800"/>
            <w:shd w:fill="FAFAFA" w:val="clear"/>
            <w:tcMar>
              <w:top w:type="dxa" w:w="80"/>
              <w:left w:type="dxa" w:w="120"/>
              <w:bottom w:type="dxa" w:w="80"/>
              <w:right w:type="dxa" w:w="120"/>
            </w:tcMar>
            <w:vAlign w:val="center"/>
          </w:tcPr>
          <w:p>
            <w:pPr>
              <w:spacing w:after="0"/>
            </w:pPr>
            <w:r>
              <w:rPr>
                <w:sz w:val="20"/>
                <w:szCs w:val="20"/>
              </w:rPr>
              <w:t xml:space="preserve">/knowledge/ structure, _governance/, CODEOWNERS, akl-validate CI</w:t>
            </w:r>
          </w:p>
        </w:tc>
        <w:tc>
          <w:tcPr>
            <w:tcW w:type="dxa" w:w="1550"/>
            <w:shd w:fill="FAFAFA" w:val="clear"/>
            <w:tcMar>
              <w:top w:type="dxa" w:w="80"/>
              <w:left w:type="dxa" w:w="120"/>
              <w:bottom w:type="dxa" w:w="80"/>
              <w:right w:type="dxa" w:w="120"/>
            </w:tcMar>
            <w:vAlign w:val="center"/>
          </w:tcPr>
          <w:p>
            <w:pPr>
              <w:spacing w:after="0"/>
            </w:pPr>
            <w:r>
              <w:rPr>
                <w:sz w:val="20"/>
                <w:szCs w:val="20"/>
              </w:rPr>
              <w:t xml:space="preserve">Phase 0</w:t>
            </w:r>
          </w:p>
        </w:tc>
      </w:tr>
      <w:tr>
        <w:tc>
          <w:tcPr>
            <w:tcW w:type="dxa" w:w="1900"/>
            <w:tcMar>
              <w:top w:type="dxa" w:w="80"/>
              <w:left w:type="dxa" w:w="120"/>
              <w:bottom w:type="dxa" w:w="80"/>
              <w:right w:type="dxa" w:w="120"/>
            </w:tcMar>
            <w:vAlign w:val="center"/>
          </w:tcPr>
          <w:p>
            <w:pPr>
              <w:spacing w:after="0"/>
            </w:pPr>
            <w:r>
              <w:rPr>
                <w:sz w:val="20"/>
                <w:szCs w:val="20"/>
              </w:rPr>
              <w:t xml:space="preserve">2. Generators</w:t>
            </w:r>
          </w:p>
        </w:tc>
        <w:tc>
          <w:tcPr>
            <w:tcW w:type="dxa" w:w="2100"/>
            <w:tcMar>
              <w:top w:type="dxa" w:w="80"/>
              <w:left w:type="dxa" w:w="120"/>
              <w:bottom w:type="dxa" w:w="80"/>
              <w:right w:type="dxa" w:w="120"/>
            </w:tcMar>
            <w:vAlign w:val="center"/>
          </w:tcPr>
          <w:p>
            <w:pPr>
              <w:spacing w:after="0"/>
            </w:pPr>
            <w:r>
              <w:rPr>
                <w:sz w:val="20"/>
                <w:szCs w:val="20"/>
              </w:rPr>
              <w:t xml:space="preserve">Backend Dev</w:t>
            </w:r>
          </w:p>
        </w:tc>
        <w:tc>
          <w:tcPr>
            <w:tcW w:type="dxa" w:w="3800"/>
            <w:tcMar>
              <w:top w:type="dxa" w:w="80"/>
              <w:left w:type="dxa" w:w="120"/>
              <w:bottom w:type="dxa" w:w="80"/>
              <w:right w:type="dxa" w:w="120"/>
            </w:tcMar>
            <w:vAlign w:val="center"/>
          </w:tcPr>
          <w:p>
            <w:pPr>
              <w:spacing w:after="0"/>
            </w:pPr>
            <w:r>
              <w:rPr>
                <w:sz w:val="20"/>
                <w:szCs w:val="20"/>
              </w:rPr>
              <w:t xml:space="preserve">akl-generate for db-schema and api-contracts; verify round-trip on real migrations</w:t>
            </w:r>
          </w:p>
        </w:tc>
        <w:tc>
          <w:tcPr>
            <w:tcW w:type="dxa" w:w="1550"/>
            <w:tcMar>
              <w:top w:type="dxa" w:w="80"/>
              <w:left w:type="dxa" w:w="120"/>
              <w:bottom w:type="dxa" w:w="80"/>
              <w:right w:type="dxa" w:w="120"/>
            </w:tcMar>
            <w:vAlign w:val="center"/>
          </w:tcPr>
          <w:p>
            <w:pPr>
              <w:spacing w:after="0"/>
            </w:pPr>
            <w:r>
              <w:rPr>
                <w:sz w:val="20"/>
                <w:szCs w:val="20"/>
              </w:rPr>
              <w:t xml:space="preserve">Phase 1</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3. Authored domains</w:t>
            </w:r>
          </w:p>
        </w:tc>
        <w:tc>
          <w:tcPr>
            <w:tcW w:type="dxa" w:w="2100"/>
            <w:shd w:fill="FAFAFA" w:val="clear"/>
            <w:tcMar>
              <w:top w:type="dxa" w:w="80"/>
              <w:left w:type="dxa" w:w="120"/>
              <w:bottom w:type="dxa" w:w="80"/>
              <w:right w:type="dxa" w:w="120"/>
            </w:tcMar>
            <w:vAlign w:val="center"/>
          </w:tcPr>
          <w:p>
            <w:pPr>
              <w:spacing w:after="0"/>
            </w:pPr>
            <w:r>
              <w:rPr>
                <w:sz w:val="20"/>
                <w:szCs w:val="20"/>
              </w:rPr>
              <w:t xml:space="preserve">BA, Frontend, Architecture</w:t>
            </w:r>
          </w:p>
        </w:tc>
        <w:tc>
          <w:tcPr>
            <w:tcW w:type="dxa" w:w="3800"/>
            <w:shd w:fill="FAFAFA" w:val="clear"/>
            <w:tcMar>
              <w:top w:type="dxa" w:w="80"/>
              <w:left w:type="dxa" w:w="120"/>
              <w:bottom w:type="dxa" w:w="80"/>
              <w:right w:type="dxa" w:w="120"/>
            </w:tcMar>
            <w:vAlign w:val="center"/>
          </w:tcPr>
          <w:p>
            <w:pPr>
              <w:spacing w:after="0"/>
            </w:pPr>
            <w:r>
              <w:rPr>
                <w:sz w:val="20"/>
                <w:szCs w:val="20"/>
              </w:rPr>
              <w:t xml:space="preserve">business-rules, workflows, pages, elements, non-functional, glossary for the pilot area</w:t>
            </w:r>
          </w:p>
        </w:tc>
        <w:tc>
          <w:tcPr>
            <w:tcW w:type="dxa" w:w="1550"/>
            <w:shd w:fill="FAFAFA" w:val="clear"/>
            <w:tcMar>
              <w:top w:type="dxa" w:w="80"/>
              <w:left w:type="dxa" w:w="120"/>
              <w:bottom w:type="dxa" w:w="80"/>
              <w:right w:type="dxa" w:w="120"/>
            </w:tcMar>
            <w:vAlign w:val="center"/>
          </w:tcPr>
          <w:p>
            <w:pPr>
              <w:spacing w:after="0"/>
            </w:pPr>
            <w:r>
              <w:rPr>
                <w:sz w:val="20"/>
                <w:szCs w:val="20"/>
              </w:rPr>
              <w:t xml:space="preserve">Phase 1 (parallel with 2)</w:t>
            </w:r>
          </w:p>
        </w:tc>
      </w:tr>
      <w:tr>
        <w:tc>
          <w:tcPr>
            <w:tcW w:type="dxa" w:w="1900"/>
            <w:tcMar>
              <w:top w:type="dxa" w:w="80"/>
              <w:left w:type="dxa" w:w="120"/>
              <w:bottom w:type="dxa" w:w="80"/>
              <w:right w:type="dxa" w:w="120"/>
            </w:tcMar>
            <w:vAlign w:val="center"/>
          </w:tcPr>
          <w:p>
            <w:pPr>
              <w:spacing w:after="0"/>
            </w:pPr>
            <w:r>
              <w:rPr>
                <w:sz w:val="20"/>
                <w:szCs w:val="20"/>
              </w:rPr>
              <w:t xml:space="preserve">4. Validation + arbitration</w:t>
            </w:r>
          </w:p>
        </w:tc>
        <w:tc>
          <w:tcPr>
            <w:tcW w:type="dxa" w:w="2100"/>
            <w:tcMar>
              <w:top w:type="dxa" w:w="80"/>
              <w:left w:type="dxa" w:w="120"/>
              <w:bottom w:type="dxa" w:w="80"/>
              <w:right w:type="dxa" w:w="120"/>
            </w:tcMar>
            <w:vAlign w:val="center"/>
          </w:tcPr>
          <w:p>
            <w:pPr>
              <w:spacing w:after="0"/>
            </w:pPr>
            <w:r>
              <w:rPr>
                <w:sz w:val="20"/>
                <w:szCs w:val="20"/>
              </w:rPr>
              <w:t xml:space="preserve">Dev + QA</w:t>
            </w:r>
          </w:p>
        </w:tc>
        <w:tc>
          <w:tcPr>
            <w:tcW w:type="dxa" w:w="3800"/>
            <w:tcMar>
              <w:top w:type="dxa" w:w="80"/>
              <w:left w:type="dxa" w:w="120"/>
              <w:bottom w:type="dxa" w:w="80"/>
              <w:right w:type="dxa" w:w="120"/>
            </w:tcMar>
            <w:vAlign w:val="center"/>
          </w:tcPr>
          <w:p>
            <w:pPr>
              <w:spacing w:after="0"/>
            </w:pPr>
            <w:r>
              <w:rPr>
                <w:sz w:val="20"/>
                <w:szCs w:val="20"/>
              </w:rPr>
              <w:t xml:space="preserve">validation-rules; deliberately exercise the co-review and arbitration path</w:t>
            </w:r>
          </w:p>
        </w:tc>
        <w:tc>
          <w:tcPr>
            <w:tcW w:type="dxa" w:w="1550"/>
            <w:tcMar>
              <w:top w:type="dxa" w:w="80"/>
              <w:left w:type="dxa" w:w="120"/>
              <w:bottom w:type="dxa" w:w="80"/>
              <w:right w:type="dxa" w:w="120"/>
            </w:tcMar>
            <w:vAlign w:val="center"/>
          </w:tcPr>
          <w:p>
            <w:pPr>
              <w:spacing w:after="0"/>
            </w:pPr>
            <w:r>
              <w:rPr>
                <w:sz w:val="20"/>
                <w:szCs w:val="20"/>
              </w:rPr>
              <w:t xml:space="preserve">Phases 2–3</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5. Copilot wiring</w:t>
            </w:r>
          </w:p>
        </w:tc>
        <w:tc>
          <w:tcPr>
            <w:tcW w:type="dxa" w:w="2100"/>
            <w:shd w:fill="FAFAFA" w:val="clear"/>
            <w:tcMar>
              <w:top w:type="dxa" w:w="80"/>
              <w:left w:type="dxa" w:w="120"/>
              <w:bottom w:type="dxa" w:w="80"/>
              <w:right w:type="dxa" w:w="120"/>
            </w:tcMar>
            <w:vAlign w:val="center"/>
          </w:tcPr>
          <w:p>
            <w:pPr>
              <w:spacing w:after="0"/>
            </w:pPr>
            <w:r>
              <w:rPr>
                <w:sz w:val="20"/>
                <w:szCs w:val="20"/>
              </w:rPr>
              <w:t xml:space="preserve">Dev</w:t>
            </w:r>
          </w:p>
        </w:tc>
        <w:tc>
          <w:tcPr>
            <w:tcW w:type="dxa" w:w="3800"/>
            <w:shd w:fill="FAFAFA" w:val="clear"/>
            <w:tcMar>
              <w:top w:type="dxa" w:w="80"/>
              <w:left w:type="dxa" w:w="120"/>
              <w:bottom w:type="dxa" w:w="80"/>
              <w:right w:type="dxa" w:w="120"/>
            </w:tcMar>
            <w:vAlign w:val="center"/>
          </w:tcPr>
          <w:p>
            <w:pPr>
              <w:spacing w:after="0"/>
            </w:pPr>
            <w:r>
              <w:rPr>
                <w:sz w:val="20"/>
                <w:szCs w:val="20"/>
              </w:rPr>
              <w:t xml:space="preserve">Scoped instructions derived from tracks; staleness workflow live</w:t>
            </w:r>
          </w:p>
        </w:tc>
        <w:tc>
          <w:tcPr>
            <w:tcW w:type="dxa" w:w="1550"/>
            <w:shd w:fill="FAFAFA" w:val="clear"/>
            <w:tcMar>
              <w:top w:type="dxa" w:w="80"/>
              <w:left w:type="dxa" w:w="120"/>
              <w:bottom w:type="dxa" w:w="80"/>
              <w:right w:type="dxa" w:w="120"/>
            </w:tcMar>
            <w:vAlign w:val="center"/>
          </w:tcPr>
          <w:p>
            <w:pPr>
              <w:spacing w:after="0"/>
            </w:pPr>
            <w:r>
              <w:rPr>
                <w:sz w:val="20"/>
                <w:szCs w:val="20"/>
              </w:rPr>
              <w:t xml:space="preserve">Phases 1–4</w:t>
            </w:r>
          </w:p>
        </w:tc>
      </w:tr>
      <w:tr>
        <w:tc>
          <w:tcPr>
            <w:tcW w:type="dxa" w:w="1900"/>
            <w:tcMar>
              <w:top w:type="dxa" w:w="80"/>
              <w:left w:type="dxa" w:w="120"/>
              <w:bottom w:type="dxa" w:w="80"/>
              <w:right w:type="dxa" w:w="120"/>
            </w:tcMar>
            <w:vAlign w:val="center"/>
          </w:tcPr>
          <w:p>
            <w:pPr>
              <w:spacing w:after="0"/>
            </w:pPr>
            <w:r>
              <w:rPr>
                <w:sz w:val="20"/>
                <w:szCs w:val="20"/>
              </w:rPr>
              <w:t xml:space="preserve">6. Evaluate</w:t>
            </w:r>
          </w:p>
        </w:tc>
        <w:tc>
          <w:tcPr>
            <w:tcW w:type="dxa" w:w="2100"/>
            <w:tcMar>
              <w:top w:type="dxa" w:w="80"/>
              <w:left w:type="dxa" w:w="120"/>
              <w:bottom w:type="dxa" w:w="80"/>
              <w:right w:type="dxa" w:w="120"/>
            </w:tcMar>
            <w:vAlign w:val="center"/>
          </w:tcPr>
          <w:p>
            <w:pPr>
              <w:spacing w:after="0"/>
            </w:pPr>
            <w:r>
              <w:rPr>
                <w:sz w:val="20"/>
                <w:szCs w:val="20"/>
              </w:rPr>
              <w:t xml:space="preserve">Tech Management</w:t>
            </w:r>
          </w:p>
        </w:tc>
        <w:tc>
          <w:tcPr>
            <w:tcW w:type="dxa" w:w="3800"/>
            <w:tcMar>
              <w:top w:type="dxa" w:w="80"/>
              <w:left w:type="dxa" w:w="120"/>
              <w:bottom w:type="dxa" w:w="80"/>
              <w:right w:type="dxa" w:w="120"/>
            </w:tcMar>
            <w:vAlign w:val="center"/>
          </w:tcPr>
          <w:p>
            <w:pPr>
              <w:spacing w:after="0"/>
            </w:pPr>
            <w:r>
              <w:rPr>
                <w:sz w:val="20"/>
                <w:szCs w:val="20"/>
              </w:rPr>
              <w:t xml:space="preserve">Run the Section 11 evaluation; decide on scale-out with data</w:t>
            </w:r>
          </w:p>
        </w:tc>
        <w:tc>
          <w:tcPr>
            <w:tcW w:type="dxa" w:w="1550"/>
            <w:tcMar>
              <w:top w:type="dxa" w:w="80"/>
              <w:left w:type="dxa" w:w="120"/>
              <w:bottom w:type="dxa" w:w="80"/>
              <w:right w:type="dxa" w:w="120"/>
            </w:tcMar>
            <w:vAlign w:val="center"/>
          </w:tcPr>
          <w:p>
            <w:pPr>
              <w:spacing w:after="0"/>
            </w:pPr>
            <w:r>
              <w:rPr>
                <w:sz w:val="20"/>
                <w:szCs w:val="20"/>
              </w:rPr>
              <w:t xml:space="preserve">Phase 5</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7. Scale out</w:t>
            </w:r>
          </w:p>
        </w:tc>
        <w:tc>
          <w:tcPr>
            <w:tcW w:type="dxa" w:w="2100"/>
            <w:shd w:fill="FAFAFA" w:val="clear"/>
            <w:tcMar>
              <w:top w:type="dxa" w:w="80"/>
              <w:left w:type="dxa" w:w="120"/>
              <w:bottom w:type="dxa" w:w="80"/>
              <w:right w:type="dxa" w:w="120"/>
            </w:tcMar>
            <w:vAlign w:val="center"/>
          </w:tcPr>
          <w:p>
            <w:pPr>
              <w:spacing w:after="0"/>
            </w:pPr>
            <w:r>
              <w:rPr>
                <w:sz w:val="20"/>
                <w:szCs w:val="20"/>
              </w:rPr>
              <w:t xml:space="preserve">All teams</w:t>
            </w:r>
          </w:p>
        </w:tc>
        <w:tc>
          <w:tcPr>
            <w:tcW w:type="dxa" w:w="3800"/>
            <w:shd w:fill="FAFAFA" w:val="clear"/>
            <w:tcMar>
              <w:top w:type="dxa" w:w="80"/>
              <w:left w:type="dxa" w:w="120"/>
              <w:bottom w:type="dxa" w:w="80"/>
              <w:right w:type="dxa" w:w="120"/>
            </w:tcMar>
            <w:vAlign w:val="center"/>
          </w:tcPr>
          <w:p>
            <w:pPr>
              <w:spacing w:after="0"/>
            </w:pPr>
            <w:r>
              <w:rPr>
                <w:sz w:val="20"/>
                <w:szCs w:val="20"/>
              </w:rPr>
              <w:t xml:space="preserve">Additional feature areas or a second application</w:t>
            </w:r>
          </w:p>
        </w:tc>
        <w:tc>
          <w:tcPr>
            <w:tcW w:type="dxa" w:w="1550"/>
            <w:shd w:fill="FAFAFA" w:val="clear"/>
            <w:tcMar>
              <w:top w:type="dxa" w:w="80"/>
              <w:left w:type="dxa" w:w="120"/>
              <w:bottom w:type="dxa" w:w="80"/>
              <w:right w:type="dxa" w:w="120"/>
            </w:tcMar>
            <w:vAlign w:val="center"/>
          </w:tcPr>
          <w:p>
            <w:pPr>
              <w:spacing w:after="0"/>
            </w:pPr>
            <w:r>
              <w:rPr>
                <w:sz w:val="20"/>
                <w:szCs w:val="20"/>
              </w:rPr>
              <w:t xml:space="preserve">Phase 6</w:t>
            </w:r>
          </w:p>
        </w:tc>
      </w:tr>
    </w:tbl>
    <w:p>
      <w:pPr>
        <w:spacing w:after="120"/>
      </w:pPr>
    </w:p>
    <w:p>
      <w:pPr>
        <w:spacing w:after="160" w:line="276"/>
      </w:pPr>
      <w:r>
        <w:rPr>
          <w:b/>
          <w:bCs/>
          <w:color w:val="1F3864"/>
        </w:rPr>
        <w:t xml:space="preserve">Phase 0 is new and non-negotiable: </w:t>
      </w:r>
      <w:r>
        <w:t xml:space="preserve">Each of its four decisions is either irreversible (ID namespacing), a sponsor blocker (security), a week-two deadlock (arbitration), or impossible to establish in hindsight (evaluation baseline).</w:t>
      </w:r>
    </w:p>
    <w:p>
      <w:pPr>
        <w:spacing w:after="160" w:line="276"/>
      </w:pPr>
      <w:r>
        <w:rPr>
          <w:b/>
          <w:bCs/>
          <w:color w:val="1F3864"/>
        </w:rPr>
        <w:t xml:space="preserve">Phase 2 is new: </w:t>
      </w:r>
      <w:r>
        <w:t xml:space="preserve">It is the difference between a durable system and a decaying one. Build the generators before asking anyone to hand-write a schema document they will never update.</w:t>
      </w:r>
    </w:p>
    <w:p>
      <w:pPr>
        <w:pStyle w:val="Heading2"/>
        <w:spacing w:after="150" w:before="300"/>
      </w:pPr>
      <w:r>
        <w:t xml:space="preserve">14.1 Pass/Fail Criteria for Phase 5</w:t>
      </w:r>
    </w:p>
    <w:p>
      <w:pPr>
        <w:spacing w:after="160" w:line="276"/>
      </w:pPr>
      <w:r>
        <w:t xml:space="preserve">Version 1.0 left this as a subjective check. For ten sampled files across the pilot area, all four conditions must hold:</w:t>
      </w:r>
    </w:p>
    <w:p>
      <w:pPr>
        <w:pStyle w:val="ListParagraph"/>
        <w:numPr>
          <w:ilvl w:val="0"/>
          <w:numId w:val="1"/>
        </w:numPr>
        <w:spacing w:after="80" w:line="276"/>
      </w:pPr>
      <w:r>
        <w:t xml:space="preserve">Copilot surfaces the correct governed document without prompting in at least eight cases.</w:t>
      </w:r>
    </w:p>
    <w:p>
      <w:pPr>
        <w:pStyle w:val="ListParagraph"/>
        <w:numPr>
          <w:ilvl w:val="0"/>
          <w:numId w:val="1"/>
        </w:numPr>
        <w:spacing w:after="80" w:line="276"/>
      </w:pPr>
      <w:r>
        <w:t xml:space="preserve">No draft or restricted content is surfaced in any case.</w:t>
      </w:r>
    </w:p>
    <w:p>
      <w:pPr>
        <w:pStyle w:val="ListParagraph"/>
        <w:numPr>
          <w:ilvl w:val="0"/>
          <w:numId w:val="1"/>
        </w:numPr>
        <w:spacing w:after="80" w:line="276"/>
      </w:pPr>
      <w:r>
        <w:t xml:space="preserve">No more than two irrelevant documents surface per case — over-retrieval fails the phase just as under-retrieval does.</w:t>
      </w:r>
    </w:p>
    <w:p>
      <w:pPr>
        <w:pStyle w:val="ListParagraph"/>
        <w:numPr>
          <w:ilvl w:val="0"/>
          <w:numId w:val="1"/>
        </w:numPr>
        <w:spacing w:after="80" w:line="276"/>
      </w:pPr>
      <w:r>
        <w:t xml:space="preserve">AKL content consumes no more than 15 percent of the context budget (Section 9.5).</w:t>
      </w:r>
    </w:p>
    <w:p>
      <w:pPr>
        <w:pStyle w:val="Heading2"/>
        <w:spacing w:after="150" w:before="300"/>
      </w:pPr>
      <w:r>
        <w:t xml:space="preserve">14.2 Cold Start — The Adoption Risk in This Phase</w:t>
      </w:r>
    </w:p>
    <w:p>
      <w:pPr>
        <w:spacing w:after="160" w:line="276"/>
      </w:pPr>
      <w:r>
        <w:t xml:space="preserve">The layer delivers least value exactly when adoption is being asked for: a thin knowledge folder gives agents little, developers conclude that nothing changed, and that first impression is difficult to reverse. This is a documented cause of stalled Backstage rollouts (Section 13.1). Two mitigations are built into the plan: Phases 3 and 4 seed the pilot area to meaningful density before Copilot is wired in Phase 5; and the pilot area should be chosen where the team currently feels the pain of undocumented rules, rather than the cleanest or best-understood module.</w:t>
      </w:r>
    </w:p>
    <w:p>
      <w:r>
        <w:br w:type="page"/>
      </w:r>
    </w:p>
    <w:p>
      <w:pPr>
        <w:pStyle w:val="Heading1"/>
        <w:spacing w:after="200" w:before="400"/>
      </w:pPr>
      <w:r>
        <w:t xml:space="preserve">15. Future-Proofing</w:t>
      </w:r>
    </w:p>
    <w:p>
      <w:pPr>
        <w:spacing w:after="160" w:line="276"/>
      </w:pPr>
      <w:r>
        <w:t xml:space="preserve">Everything is plain Markdown and YAML in git. That is a deliberate bet: whatever AI tooling looks like in two years, the source of truth does not need to be migrated — only the read path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650"/>
      </w:tblGrid>
      <w:tr>
        <w:trPr>
          <w:tblHeader/>
        </w:trPr>
        <w:tc>
          <w:tcPr>
            <w:tcW w:type="dxa" w:w="3100"/>
            <w:shd w:fill="1F3864" w:val="clear"/>
            <w:tcMar>
              <w:top w:type="dxa" w:w="80"/>
              <w:left w:type="dxa" w:w="120"/>
              <w:bottom w:type="dxa" w:w="80"/>
              <w:right w:type="dxa" w:w="120"/>
            </w:tcMar>
            <w:vAlign w:val="center"/>
          </w:tcPr>
          <w:p>
            <w:pPr>
              <w:spacing w:after="0"/>
            </w:pPr>
            <w:r>
              <w:rPr>
                <w:b/>
                <w:bCs/>
                <w:color w:val="FFFFFF"/>
                <w:sz w:val="20"/>
                <w:szCs w:val="20"/>
              </w:rPr>
              <w:t xml:space="preserve">Path</w:t>
            </w:r>
          </w:p>
        </w:tc>
        <w:tc>
          <w:tcPr>
            <w:tcW w:type="dxa" w:w="1600"/>
            <w:shd w:fill="1F3864" w:val="clear"/>
            <w:tcMar>
              <w:top w:type="dxa" w:w="80"/>
              <w:left w:type="dxa" w:w="120"/>
              <w:bottom w:type="dxa" w:w="80"/>
              <w:right w:type="dxa" w:w="120"/>
            </w:tcMar>
            <w:vAlign w:val="center"/>
          </w:tcPr>
          <w:p>
            <w:pPr>
              <w:spacing w:after="0"/>
            </w:pPr>
            <w:r>
              <w:rPr>
                <w:b/>
                <w:bCs/>
                <w:color w:val="FFFFFF"/>
                <w:sz w:val="20"/>
                <w:szCs w:val="20"/>
              </w:rPr>
              <w:t xml:space="preserve">Status</w:t>
            </w:r>
          </w:p>
        </w:tc>
        <w:tc>
          <w:tcPr>
            <w:tcW w:type="dxa" w:w="4650"/>
            <w:shd w:fill="1F3864" w:val="clear"/>
            <w:tcMar>
              <w:top w:type="dxa" w:w="80"/>
              <w:left w:type="dxa" w:w="120"/>
              <w:bottom w:type="dxa" w:w="80"/>
              <w:right w:type="dxa" w:w="120"/>
            </w:tcMar>
            <w:vAlign w:val="center"/>
          </w:tcPr>
          <w:p>
            <w:pPr>
              <w:spacing w:after="0"/>
            </w:pPr>
            <w:r>
              <w:rPr>
                <w:b/>
                <w:bCs/>
                <w:color w:val="FFFFFF"/>
                <w:sz w:val="20"/>
                <w:szCs w:val="20"/>
              </w:rPr>
              <w:t xml:space="preserve">Scale trigger</w:t>
            </w:r>
          </w:p>
        </w:tc>
      </w:tr>
      <w:tr>
        <w:tc>
          <w:tcPr>
            <w:tcW w:type="dxa" w:w="3100"/>
            <w:tcMar>
              <w:top w:type="dxa" w:w="80"/>
              <w:left w:type="dxa" w:w="120"/>
              <w:bottom w:type="dxa" w:w="80"/>
              <w:right w:type="dxa" w:w="120"/>
            </w:tcMar>
            <w:vAlign w:val="center"/>
          </w:tcPr>
          <w:p>
            <w:pPr>
              <w:spacing w:after="0"/>
            </w:pPr>
            <w:r>
              <w:rPr>
                <w:sz w:val="20"/>
                <w:szCs w:val="20"/>
              </w:rPr>
              <w:t xml:space="preserve">VS Code / Copilot instructions</w:t>
            </w:r>
          </w:p>
        </w:tc>
        <w:tc>
          <w:tcPr>
            <w:tcW w:type="dxa" w:w="1600"/>
            <w:tcMar>
              <w:top w:type="dxa" w:w="80"/>
              <w:left w:type="dxa" w:w="120"/>
              <w:bottom w:type="dxa" w:w="80"/>
              <w:right w:type="dxa" w:w="120"/>
            </w:tcMar>
            <w:vAlign w:val="center"/>
          </w:tcPr>
          <w:p>
            <w:pPr>
              <w:spacing w:after="0"/>
            </w:pPr>
            <w:r>
              <w:rPr>
                <w:sz w:val="20"/>
                <w:szCs w:val="20"/>
              </w:rPr>
              <w:t xml:space="preserve">Shipping now</w:t>
            </w:r>
          </w:p>
        </w:tc>
        <w:tc>
          <w:tcPr>
            <w:tcW w:type="dxa" w:w="4650"/>
            <w:tcMar>
              <w:top w:type="dxa" w:w="80"/>
              <w:left w:type="dxa" w:w="120"/>
              <w:bottom w:type="dxa" w:w="80"/>
              <w:right w:type="dxa" w:w="120"/>
            </w:tcMar>
            <w:vAlign w:val="center"/>
          </w:tcPr>
          <w:p>
            <w:pPr>
              <w:spacing w:after="0"/>
            </w:pPr>
            <w:r>
              <w:rPr>
                <w:sz w:val="20"/>
                <w:szCs w:val="20"/>
              </w:rPr>
              <w:t xml:space="preserve">—</w:t>
            </w:r>
          </w:p>
        </w:tc>
      </w:tr>
      <w:tr>
        <w:tc>
          <w:tcPr>
            <w:tcW w:type="dxa" w:w="3100"/>
            <w:shd w:fill="FAFAFA" w:val="clear"/>
            <w:tcMar>
              <w:top w:type="dxa" w:w="80"/>
              <w:left w:type="dxa" w:w="120"/>
              <w:bottom w:type="dxa" w:w="80"/>
              <w:right w:type="dxa" w:w="120"/>
            </w:tcMar>
            <w:vAlign w:val="center"/>
          </w:tcPr>
          <w:p>
            <w:pPr>
              <w:spacing w:after="0"/>
            </w:pPr>
            <w:r>
              <w:rPr>
                <w:sz w:val="20"/>
                <w:szCs w:val="20"/>
              </w:rPr>
              <w:t xml:space="preserve">MCP server (structured queries)</w:t>
            </w:r>
          </w:p>
        </w:tc>
        <w:tc>
          <w:tcPr>
            <w:tcW w:type="dxa" w:w="1600"/>
            <w:shd w:fill="FAFAFA" w:val="clear"/>
            <w:tcMar>
              <w:top w:type="dxa" w:w="80"/>
              <w:left w:type="dxa" w:w="120"/>
              <w:bottom w:type="dxa" w:w="80"/>
              <w:right w:type="dxa" w:w="120"/>
            </w:tcMar>
            <w:vAlign w:val="center"/>
          </w:tcPr>
          <w:p>
            <w:pPr>
              <w:spacing w:after="0"/>
            </w:pPr>
            <w:r>
              <w:rPr>
                <w:sz w:val="20"/>
                <w:szCs w:val="20"/>
              </w:rPr>
              <w:t xml:space="preserve">Additive</w:t>
            </w:r>
          </w:p>
        </w:tc>
        <w:tc>
          <w:tcPr>
            <w:tcW w:type="dxa" w:w="4650"/>
            <w:shd w:fill="FAFAFA" w:val="clear"/>
            <w:tcMar>
              <w:top w:type="dxa" w:w="80"/>
              <w:left w:type="dxa" w:w="120"/>
              <w:bottom w:type="dxa" w:w="80"/>
              <w:right w:type="dxa" w:w="120"/>
            </w:tcMar>
            <w:vAlign w:val="center"/>
          </w:tcPr>
          <w:p>
            <w:pPr>
              <w:spacing w:after="0"/>
            </w:pPr>
            <w:r>
              <w:rPr>
                <w:sz w:val="20"/>
                <w:szCs w:val="20"/>
              </w:rPr>
              <w:t xml:space="preserve">More than 300 documents or more than 2 repositories — glob maintenance and cross-repository linking both break down around there</w:t>
            </w:r>
          </w:p>
        </w:tc>
      </w:tr>
      <w:tr>
        <w:tc>
          <w:tcPr>
            <w:tcW w:type="dxa" w:w="3100"/>
            <w:tcMar>
              <w:top w:type="dxa" w:w="80"/>
              <w:left w:type="dxa" w:w="120"/>
              <w:bottom w:type="dxa" w:w="80"/>
              <w:right w:type="dxa" w:w="120"/>
            </w:tcMar>
            <w:vAlign w:val="center"/>
          </w:tcPr>
          <w:p>
            <w:pPr>
              <w:spacing w:after="0"/>
            </w:pPr>
            <w:r>
              <w:rPr>
                <w:sz w:val="20"/>
                <w:szCs w:val="20"/>
              </w:rPr>
              <w:t xml:space="preserve">RAG / vector retrieval</w:t>
            </w:r>
          </w:p>
        </w:tc>
        <w:tc>
          <w:tcPr>
            <w:tcW w:type="dxa" w:w="1600"/>
            <w:tcMar>
              <w:top w:type="dxa" w:w="80"/>
              <w:left w:type="dxa" w:w="120"/>
              <w:bottom w:type="dxa" w:w="80"/>
              <w:right w:type="dxa" w:w="120"/>
            </w:tcMar>
            <w:vAlign w:val="center"/>
          </w:tcPr>
          <w:p>
            <w:pPr>
              <w:spacing w:after="0"/>
            </w:pPr>
            <w:r>
              <w:rPr>
                <w:sz w:val="20"/>
                <w:szCs w:val="20"/>
              </w:rPr>
              <w:t xml:space="preserve">Additive</w:t>
            </w:r>
          </w:p>
        </w:tc>
        <w:tc>
          <w:tcPr>
            <w:tcW w:type="dxa" w:w="4650"/>
            <w:tcMar>
              <w:top w:type="dxa" w:w="80"/>
              <w:left w:type="dxa" w:w="120"/>
              <w:bottom w:type="dxa" w:w="80"/>
              <w:right w:type="dxa" w:w="120"/>
            </w:tcMar>
            <w:vAlign w:val="center"/>
          </w:tcPr>
          <w:p>
            <w:pPr>
              <w:spacing w:after="0"/>
            </w:pPr>
            <w:r>
              <w:rPr>
                <w:sz w:val="20"/>
                <w:szCs w:val="20"/>
              </w:rPr>
              <w:t xml:space="preserve">When natural-language lookup over the corpus becomes a stated need</w:t>
            </w:r>
          </w:p>
        </w:tc>
      </w:tr>
      <w:tr>
        <w:tc>
          <w:tcPr>
            <w:tcW w:type="dxa" w:w="3100"/>
            <w:shd w:fill="FAFAFA" w:val="clear"/>
            <w:tcMar>
              <w:top w:type="dxa" w:w="80"/>
              <w:left w:type="dxa" w:w="120"/>
              <w:bottom w:type="dxa" w:w="80"/>
              <w:right w:type="dxa" w:w="120"/>
            </w:tcMar>
            <w:vAlign w:val="center"/>
          </w:tcPr>
          <w:p>
            <w:pPr>
              <w:spacing w:after="0"/>
            </w:pPr>
            <w:r>
              <w:rPr>
                <w:sz w:val="20"/>
                <w:szCs w:val="20"/>
              </w:rPr>
              <w:t xml:space="preserve">Other enterprise agents (e.g. Copilot Studio)</w:t>
            </w:r>
          </w:p>
        </w:tc>
        <w:tc>
          <w:tcPr>
            <w:tcW w:type="dxa" w:w="1600"/>
            <w:shd w:fill="FAFAFA" w:val="clear"/>
            <w:tcMar>
              <w:top w:type="dxa" w:w="80"/>
              <w:left w:type="dxa" w:w="120"/>
              <w:bottom w:type="dxa" w:w="80"/>
              <w:right w:type="dxa" w:w="120"/>
            </w:tcMar>
            <w:vAlign w:val="center"/>
          </w:tcPr>
          <w:p>
            <w:pPr>
              <w:spacing w:after="0"/>
            </w:pPr>
            <w:r>
              <w:rPr>
                <w:sz w:val="20"/>
                <w:szCs w:val="20"/>
              </w:rPr>
              <w:t xml:space="preserve">Additive</w:t>
            </w:r>
          </w:p>
        </w:tc>
        <w:tc>
          <w:tcPr>
            <w:tcW w:type="dxa" w:w="4650"/>
            <w:shd w:fill="FAFAFA" w:val="clear"/>
            <w:tcMar>
              <w:top w:type="dxa" w:w="80"/>
              <w:left w:type="dxa" w:w="120"/>
              <w:bottom w:type="dxa" w:w="80"/>
              <w:right w:type="dxa" w:w="120"/>
            </w:tcMar>
            <w:vAlign w:val="center"/>
          </w:tcPr>
          <w:p>
            <w:pPr>
              <w:spacing w:after="0"/>
            </w:pPr>
            <w:r>
              <w:rPr>
                <w:sz w:val="20"/>
                <w:szCs w:val="20"/>
              </w:rPr>
              <w:t xml:space="preserve">When a non-VS-Code agent needs the same grounding</w:t>
            </w:r>
          </w:p>
        </w:tc>
      </w:tr>
    </w:tbl>
    <w:p>
      <w:pPr>
        <w:spacing w:after="120"/>
      </w:pPr>
    </w:p>
    <w:p>
      <w:pPr>
        <w:spacing w:after="160" w:line="276"/>
      </w:pPr>
      <w:r>
        <w:t xml:space="preserve">Naming the trigger matters more than naming the option. Version 1.0 listed these as vague possibilities, which in practice means nobody ever decides it is time to act on them.</w:t>
      </w:r>
    </w:p>
    <w:p>
      <w:pPr>
        <w:pStyle w:val="Heading1"/>
        <w:spacing w:after="200" w:before="400"/>
      </w:pPr>
      <w:r>
        <w:t xml:space="preserve">16. Open Decisions</w:t>
      </w:r>
    </w:p>
    <w:p>
      <w:pPr>
        <w:pStyle w:val="ListParagraph"/>
        <w:numPr>
          <w:ilvl w:val="0"/>
          <w:numId w:val="1"/>
        </w:numPr>
        <w:spacing w:after="80" w:line="276"/>
      </w:pPr>
      <w:r>
        <w:t xml:space="preserve">Pilot feature area — enough business-rule complexity to stress-test the model, bounded enough to validate within one cycle, and an area where the team already asks each other questions about intended behaviour (see cold start, Section 14.2).</w:t>
      </w:r>
    </w:p>
    <w:p>
      <w:pPr>
        <w:pStyle w:val="ListParagraph"/>
        <w:numPr>
          <w:ilvl w:val="0"/>
          <w:numId w:val="1"/>
        </w:numPr>
        <w:spacing w:after="80" w:line="276"/>
      </w:pPr>
      <w:r>
        <w:t xml:space="preserve">Whether the decisions domain migrates existing ADRs or starts fresh.</w:t>
      </w:r>
    </w:p>
    <w:p>
      <w:pPr>
        <w:pStyle w:val="ListParagraph"/>
        <w:numPr>
          <w:ilvl w:val="0"/>
          <w:numId w:val="1"/>
        </w:numPr>
        <w:spacing w:after="80" w:line="276"/>
      </w:pPr>
      <w:r>
        <w:t xml:space="preserve">Generator implementation choice for api-contracts — specification-first (OpenAPI is the source) versus code-first (annotations generate the specification). This affects who owns the contract in practice.</w:t>
      </w:r>
    </w:p>
    <w:p>
      <w:pPr>
        <w:pStyle w:val="ListParagraph"/>
        <w:numPr>
          <w:ilvl w:val="0"/>
          <w:numId w:val="1"/>
        </w:numPr>
        <w:spacing w:after="80" w:line="276"/>
      </w:pPr>
      <w:r>
        <w:t xml:space="preserve">Whether to build a create-knowledge-doc scaffolder in Phase 1. Spotify pairs its catalog and documentation with Software Templates that standardise tooling to preferred practices; a scaffolder would materially raise conformance versus asking contributors to copy a template by hand.</w:t>
      </w:r>
    </w:p>
    <w:p>
      <w:r>
        <w:br w:type="page"/>
      </w:r>
    </w:p>
    <w:p>
      <w:pPr>
        <w:pStyle w:val="Heading1"/>
        <w:spacing w:after="200" w:before="400"/>
      </w:pPr>
      <w:r>
        <w:t xml:space="preserve">Appendix A: Candidate Domains &amp; Selection Criteria</w:t>
      </w:r>
    </w:p>
    <w:p>
      <w:pPr>
        <w:spacing w:after="160" w:line="276"/>
      </w:pPr>
      <w:r>
        <w:t xml:space="preserve">The eleven domains in Section 5 are the committed set. This appendix records the wider candidate list, the classification of each, and the test used to decide what earns a place. It exists so that future additions are argued against a standard rather than added by enthusiasm.</w:t>
      </w:r>
    </w:p>
    <w:p>
      <w:pPr>
        <w:pStyle w:val="Heading2"/>
        <w:spacing w:after="150" w:before="300"/>
      </w:pPr>
      <w:r>
        <w:t xml:space="preserve">A.1 The Selection Test</w:t>
      </w:r>
    </w:p>
    <w:p>
      <w:pPr>
        <w:spacing w:after="160" w:line="276"/>
      </w:pPr>
      <w:r>
        <w:t xml:space="preserve">Apply both tests, in order:</w:t>
      </w:r>
    </w:p>
    <w:p>
      <w:pPr>
        <w:pStyle w:val="ListParagraph"/>
        <w:numPr>
          <w:ilvl w:val="0"/>
          <w:numId w:val="1"/>
        </w:numPr>
        <w:spacing w:after="80" w:line="276"/>
      </w:pPr>
      <w:r>
        <w:t xml:space="preserve">Agent uplift test: would an agent produce meaningfully worse output without this domain? If the honest answer is “no, but it would be nice for humans,” it belongs in the wiki or ADO — not in a layer whose maintenance cost is justified by agent grounding.</w:t>
      </w:r>
    </w:p>
    <w:p>
      <w:pPr>
        <w:pStyle w:val="ListParagraph"/>
        <w:numPr>
          <w:ilvl w:val="0"/>
          <w:numId w:val="1"/>
        </w:numPr>
        <w:spacing w:after="80" w:line="276"/>
      </w:pPr>
      <w:r>
        <w:t xml:space="preserve">Generation test: can it be derived from an existing machine-readable source? If yes, it is nearly free and should be added. If it must be hand-authored and changes weekly, be sceptical.</w:t>
      </w:r>
    </w:p>
    <w:p>
      <w:pPr>
        <w:spacing w:after="120"/>
      </w:pPr>
    </w:p>
    <w:p>
      <w:pPr>
        <w:spacing w:after="160" w:line="276"/>
      </w:pPr>
      <w:r>
        <w:rPr>
          <w:b/>
          <w:bCs/>
          <w:color w:val="1F3864"/>
        </w:rPr>
        <w:t xml:space="preserve">The failure mode this guards against: </w:t>
      </w:r>
      <w:r>
        <w:t xml:space="preserve">A knowledge layer with twenty domains that is 60 percent stale is worse than one with eight domains that is trustworthy — because agents cannot tell the difference, and neither can the teams relying on them.</w:t>
      </w:r>
    </w:p>
    <w:p>
      <w:pPr>
        <w:pStyle w:val="Heading2"/>
        <w:spacing w:after="150" w:before="300"/>
      </w:pPr>
      <w:r>
        <w:t xml:space="preserve">A.2 Tier 1 — High Agent Uplift, Add Next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6200"/>
      </w:tblGrid>
      <w:tr>
        <w:trPr>
          <w:tblHeader/>
        </w:trPr>
        <w:tc>
          <w:tcPr>
            <w:tcW w:type="dxa" w:w="1900"/>
            <w:shd w:fill="1F3864" w:val="clear"/>
            <w:tcMar>
              <w:top w:type="dxa" w:w="80"/>
              <w:left w:type="dxa" w:w="120"/>
              <w:bottom w:type="dxa" w:w="80"/>
              <w:right w:type="dxa" w:w="120"/>
            </w:tcMar>
            <w:vAlign w:val="center"/>
          </w:tcPr>
          <w:p>
            <w:pPr>
              <w:spacing w:after="0"/>
            </w:pPr>
            <w:r>
              <w:rPr>
                <w:b/>
                <w:bCs/>
                <w:color w:val="FFFFFF"/>
                <w:sz w:val="20"/>
                <w:szCs w:val="20"/>
              </w:rPr>
              <w:t xml:space="preserve">Domain</w:t>
            </w:r>
          </w:p>
        </w:tc>
        <w:tc>
          <w:tcPr>
            <w:tcW w:type="dxa" w:w="1250"/>
            <w:shd w:fill="1F3864" w:val="clear"/>
            <w:tcMar>
              <w:top w:type="dxa" w:w="80"/>
              <w:left w:type="dxa" w:w="120"/>
              <w:bottom w:type="dxa" w:w="80"/>
              <w:right w:type="dxa" w:w="120"/>
            </w:tcMar>
            <w:vAlign w:val="center"/>
          </w:tcPr>
          <w:p>
            <w:pPr>
              <w:spacing w:after="0"/>
            </w:pPr>
            <w:r>
              <w:rPr>
                <w:b/>
                <w:bCs/>
                <w:color w:val="FFFFFF"/>
                <w:sz w:val="20"/>
                <w:szCs w:val="20"/>
              </w:rPr>
              <w:t xml:space="preserve">Type</w:t>
            </w:r>
          </w:p>
        </w:tc>
        <w:tc>
          <w:tcPr>
            <w:tcW w:type="dxa" w:w="6200"/>
            <w:shd w:fill="1F3864" w:val="clear"/>
            <w:tcMar>
              <w:top w:type="dxa" w:w="80"/>
              <w:left w:type="dxa" w:w="120"/>
              <w:bottom w:type="dxa" w:w="80"/>
              <w:right w:type="dxa" w:w="120"/>
            </w:tcMar>
            <w:vAlign w:val="center"/>
          </w:tcPr>
          <w:p>
            <w:pPr>
              <w:spacing w:after="0"/>
            </w:pPr>
            <w:r>
              <w:rPr>
                <w:b/>
                <w:bCs/>
                <w:color w:val="FFFFFF"/>
                <w:sz w:val="20"/>
                <w:szCs w:val="20"/>
              </w:rPr>
              <w:t xml:space="preserve">Rationale</w:t>
            </w:r>
          </w:p>
        </w:tc>
      </w:tr>
      <w:tr>
        <w:tc>
          <w:tcPr>
            <w:tcW w:type="dxa" w:w="1900"/>
            <w:tcMar>
              <w:top w:type="dxa" w:w="80"/>
              <w:left w:type="dxa" w:w="120"/>
              <w:bottom w:type="dxa" w:w="80"/>
              <w:right w:type="dxa" w:w="120"/>
            </w:tcMar>
            <w:vAlign w:val="center"/>
          </w:tcPr>
          <w:p>
            <w:pPr>
              <w:spacing w:after="0"/>
            </w:pPr>
            <w:r>
              <w:rPr>
                <w:sz w:val="20"/>
                <w:szCs w:val="20"/>
              </w:rPr>
              <w:t xml:space="preserve">entity-lifecycle</w:t>
            </w:r>
          </w:p>
        </w:tc>
        <w:tc>
          <w:tcPr>
            <w:tcW w:type="dxa" w:w="1250"/>
            <w:tcMar>
              <w:top w:type="dxa" w:w="80"/>
              <w:left w:type="dxa" w:w="120"/>
              <w:bottom w:type="dxa" w:w="80"/>
              <w:right w:type="dxa" w:w="120"/>
            </w:tcMar>
            <w:vAlign w:val="center"/>
          </w:tcPr>
          <w:p>
            <w:pPr>
              <w:spacing w:after="0"/>
            </w:pPr>
            <w:r>
              <w:rPr>
                <w:sz w:val="20"/>
                <w:szCs w:val="20"/>
              </w:rPr>
              <w:t xml:space="preserve">Authored</w:t>
            </w:r>
          </w:p>
        </w:tc>
        <w:tc>
          <w:tcPr>
            <w:tcW w:type="dxa" w:w="6200"/>
            <w:tcMar>
              <w:top w:type="dxa" w:w="80"/>
              <w:left w:type="dxa" w:w="120"/>
              <w:bottom w:type="dxa" w:w="80"/>
              <w:right w:type="dxa" w:w="120"/>
            </w:tcMar>
            <w:vAlign w:val="center"/>
          </w:tcPr>
          <w:p>
            <w:pPr>
              <w:spacing w:after="0"/>
            </w:pPr>
            <w:r>
              <w:rPr>
                <w:sz w:val="20"/>
                <w:szCs w:val="20"/>
              </w:rPr>
              <w:t xml:space="preserve">Valid states and transitions for core objects (order, claim, refund). Agents routinely invent illegal transitions. The highest-value gap in the current set.</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calculations</w:t>
            </w:r>
          </w:p>
        </w:tc>
        <w:tc>
          <w:tcPr>
            <w:tcW w:type="dxa" w:w="1250"/>
            <w:shd w:fill="FAFAFA" w:val="clear"/>
            <w:tcMar>
              <w:top w:type="dxa" w:w="80"/>
              <w:left w:type="dxa" w:w="120"/>
              <w:bottom w:type="dxa" w:w="80"/>
              <w:right w:type="dxa" w:w="120"/>
            </w:tcMar>
            <w:vAlign w:val="center"/>
          </w:tcPr>
          <w:p>
            <w:pPr>
              <w:spacing w:after="0"/>
            </w:pPr>
            <w:r>
              <w:rPr>
                <w:sz w:val="20"/>
                <w:szCs w:val="20"/>
              </w:rPr>
              <w:t xml:space="preserve">Authored</w:t>
            </w:r>
          </w:p>
        </w:tc>
        <w:tc>
          <w:tcPr>
            <w:tcW w:type="dxa" w:w="6200"/>
            <w:shd w:fill="FAFAFA" w:val="clear"/>
            <w:tcMar>
              <w:top w:type="dxa" w:w="80"/>
              <w:left w:type="dxa" w:w="120"/>
              <w:bottom w:type="dxa" w:w="80"/>
              <w:right w:type="dxa" w:w="120"/>
            </w:tcMar>
            <w:vAlign w:val="center"/>
          </w:tcPr>
          <w:p>
            <w:pPr>
              <w:spacing w:after="0"/>
            </w:pPr>
            <w:r>
              <w:rPr>
                <w:sz w:val="20"/>
                <w:szCs w:val="20"/>
              </w:rPr>
              <w:t xml:space="preserve">Tax, discount, pricing, interest, proration. Business rules state when; this states how, precisely. Highly error-prone for an agent to infer from code.</w:t>
            </w:r>
          </w:p>
        </w:tc>
      </w:tr>
      <w:tr>
        <w:tc>
          <w:tcPr>
            <w:tcW w:type="dxa" w:w="1900"/>
            <w:tcMar>
              <w:top w:type="dxa" w:w="80"/>
              <w:left w:type="dxa" w:w="120"/>
              <w:bottom w:type="dxa" w:w="80"/>
              <w:right w:type="dxa" w:w="120"/>
            </w:tcMar>
            <w:vAlign w:val="center"/>
          </w:tcPr>
          <w:p>
            <w:pPr>
              <w:spacing w:after="0"/>
            </w:pPr>
            <w:r>
              <w:rPr>
                <w:sz w:val="20"/>
                <w:szCs w:val="20"/>
              </w:rPr>
              <w:t xml:space="preserve">permissions</w:t>
            </w:r>
          </w:p>
        </w:tc>
        <w:tc>
          <w:tcPr>
            <w:tcW w:type="dxa" w:w="1250"/>
            <w:tcMar>
              <w:top w:type="dxa" w:w="80"/>
              <w:left w:type="dxa" w:w="120"/>
              <w:bottom w:type="dxa" w:w="80"/>
              <w:right w:type="dxa" w:w="120"/>
            </w:tcMar>
            <w:vAlign w:val="center"/>
          </w:tcPr>
          <w:p>
            <w:pPr>
              <w:spacing w:after="0"/>
            </w:pPr>
            <w:r>
              <w:rPr>
                <w:sz w:val="20"/>
                <w:szCs w:val="20"/>
              </w:rPr>
              <w:t xml:space="preserve">Hybrid</w:t>
            </w:r>
          </w:p>
        </w:tc>
        <w:tc>
          <w:tcPr>
            <w:tcW w:type="dxa" w:w="6200"/>
            <w:tcMar>
              <w:top w:type="dxa" w:w="80"/>
              <w:left w:type="dxa" w:w="120"/>
              <w:bottom w:type="dxa" w:w="80"/>
              <w:right w:type="dxa" w:w="120"/>
            </w:tcMar>
            <w:vAlign w:val="center"/>
          </w:tcPr>
          <w:p>
            <w:pPr>
              <w:spacing w:after="0"/>
            </w:pPr>
            <w:r>
              <w:rPr>
                <w:sz w:val="20"/>
                <w:szCs w:val="20"/>
              </w:rPr>
              <w:t xml:space="preserve">Roles and what each may do per resource. Agents guess at authorization checks constantly. Derive the role list from config; author the intent.</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error-catalog</w:t>
            </w:r>
          </w:p>
        </w:tc>
        <w:tc>
          <w:tcPr>
            <w:tcW w:type="dxa" w:w="1250"/>
            <w:shd w:fill="FAFAFA" w:val="clear"/>
            <w:tcMar>
              <w:top w:type="dxa" w:w="80"/>
              <w:left w:type="dxa" w:w="120"/>
              <w:bottom w:type="dxa" w:w="80"/>
              <w:right w:type="dxa" w:w="120"/>
            </w:tcMar>
            <w:vAlign w:val="center"/>
          </w:tcPr>
          <w:p>
            <w:pPr>
              <w:spacing w:after="0"/>
            </w:pPr>
            <w:r>
              <w:rPr>
                <w:sz w:val="20"/>
                <w:szCs w:val="20"/>
              </w:rPr>
              <w:t xml:space="preserve">Hybrid</w:t>
            </w:r>
          </w:p>
        </w:tc>
        <w:tc>
          <w:tcPr>
            <w:tcW w:type="dxa" w:w="6200"/>
            <w:shd w:fill="FAFAFA" w:val="clear"/>
            <w:tcMar>
              <w:top w:type="dxa" w:w="80"/>
              <w:left w:type="dxa" w:w="120"/>
              <w:bottom w:type="dxa" w:w="80"/>
              <w:right w:type="dxa" w:w="120"/>
            </w:tcMar>
            <w:vAlign w:val="center"/>
          </w:tcPr>
          <w:p>
            <w:pPr>
              <w:spacing w:after="0"/>
            </w:pPr>
            <w:r>
              <w:rPr>
                <w:sz w:val="20"/>
                <w:szCs w:val="20"/>
              </w:rPr>
              <w:t xml:space="preserve">Error codes, meanings, user-facing messages, retry semantics. Prevents invented error codes and inconsistent handling.</w:t>
            </w:r>
          </w:p>
        </w:tc>
      </w:tr>
      <w:tr>
        <w:tc>
          <w:tcPr>
            <w:tcW w:type="dxa" w:w="1900"/>
            <w:tcMar>
              <w:top w:type="dxa" w:w="80"/>
              <w:left w:type="dxa" w:w="120"/>
              <w:bottom w:type="dxa" w:w="80"/>
              <w:right w:type="dxa" w:w="120"/>
            </w:tcMar>
            <w:vAlign w:val="center"/>
          </w:tcPr>
          <w:p>
            <w:pPr>
              <w:spacing w:after="0"/>
            </w:pPr>
            <w:r>
              <w:rPr>
                <w:sz w:val="20"/>
                <w:szCs w:val="20"/>
              </w:rPr>
              <w:t xml:space="preserve">events</w:t>
            </w:r>
          </w:p>
        </w:tc>
        <w:tc>
          <w:tcPr>
            <w:tcW w:type="dxa" w:w="1250"/>
            <w:tcMar>
              <w:top w:type="dxa" w:w="80"/>
              <w:left w:type="dxa" w:w="120"/>
              <w:bottom w:type="dxa" w:w="80"/>
              <w:right w:type="dxa" w:w="120"/>
            </w:tcMar>
            <w:vAlign w:val="center"/>
          </w:tcPr>
          <w:p>
            <w:pPr>
              <w:spacing w:after="0"/>
            </w:pPr>
            <w:r>
              <w:rPr>
                <w:sz w:val="20"/>
                <w:szCs w:val="20"/>
              </w:rPr>
              <w:t xml:space="preserve">Derived</w:t>
            </w:r>
          </w:p>
        </w:tc>
        <w:tc>
          <w:tcPr>
            <w:tcW w:type="dxa" w:w="6200"/>
            <w:tcMar>
              <w:top w:type="dxa" w:w="80"/>
              <w:left w:type="dxa" w:w="120"/>
              <w:bottom w:type="dxa" w:w="80"/>
              <w:right w:type="dxa" w:w="120"/>
            </w:tcMar>
            <w:vAlign w:val="center"/>
          </w:tcPr>
          <w:p>
            <w:pPr>
              <w:spacing w:after="0"/>
            </w:pPr>
            <w:r>
              <w:rPr>
                <w:sz w:val="20"/>
                <w:szCs w:val="20"/>
              </w:rPr>
              <w:t xml:space="preserve">Topics, message schemas, publishers and subscribers (AsyncAPI). API contracts cover synchronous interfaces only; this is the matching asynchronous gap.</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anti-patterns</w:t>
            </w:r>
          </w:p>
        </w:tc>
        <w:tc>
          <w:tcPr>
            <w:tcW w:type="dxa" w:w="1250"/>
            <w:shd w:fill="FAFAFA" w:val="clear"/>
            <w:tcMar>
              <w:top w:type="dxa" w:w="80"/>
              <w:left w:type="dxa" w:w="120"/>
              <w:bottom w:type="dxa" w:w="80"/>
              <w:right w:type="dxa" w:w="120"/>
            </w:tcMar>
            <w:vAlign w:val="center"/>
          </w:tcPr>
          <w:p>
            <w:pPr>
              <w:spacing w:after="0"/>
            </w:pPr>
            <w:r>
              <w:rPr>
                <w:sz w:val="20"/>
                <w:szCs w:val="20"/>
              </w:rPr>
              <w:t xml:space="preserve">Authored</w:t>
            </w:r>
          </w:p>
        </w:tc>
        <w:tc>
          <w:tcPr>
            <w:tcW w:type="dxa" w:w="6200"/>
            <w:shd w:fill="FAFAFA" w:val="clear"/>
            <w:tcMar>
              <w:top w:type="dxa" w:w="80"/>
              <w:left w:type="dxa" w:w="120"/>
              <w:bottom w:type="dxa" w:w="80"/>
              <w:right w:type="dxa" w:w="120"/>
            </w:tcMar>
            <w:vAlign w:val="center"/>
          </w:tcPr>
          <w:p>
            <w:pPr>
              <w:spacing w:after="0"/>
            </w:pPr>
            <w:r>
              <w:rPr>
                <w:sz w:val="20"/>
                <w:szCs w:val="20"/>
              </w:rPr>
              <w:t xml:space="preserve">Deliberate divergences from common practice. Models reproduce statistically common patterns, so intentional deviations need explicit defense.</w:t>
            </w:r>
          </w:p>
        </w:tc>
      </w:tr>
    </w:tbl>
    <w:p>
      <w:pPr>
        <w:spacing w:after="120"/>
      </w:pPr>
    </w:p>
    <w:p>
      <w:pPr>
        <w:spacing w:after="160" w:line="276"/>
      </w:pPr>
      <w:r>
        <w:t xml:space="preserve">The anti-patterns domain deserves particular emphasis: it is inexpensive to write and disproportionately effective. A single line — “we do not use the ORM's cascade delete here, see DEC-004” — prevents an entire class of confidently wrong refactors.</w:t>
      </w:r>
    </w:p>
    <w:p>
      <w:pPr>
        <w:spacing w:after="160" w:line="276"/>
      </w:pPr>
      <w:r>
        <w:rPr>
          <w:b/>
          <w:bCs/>
          <w:color w:val="1F3864"/>
        </w:rPr>
        <w:t xml:space="preserve">Recommended for the pilot itself: </w:t>
      </w:r>
      <w:r>
        <w:t xml:space="preserve">entity-lifecycle and anti-patterns. Both are small, high-signal, and should show up clearly in the Section 11 evaluation metrics. The remaining Tier 1 domains wait for Phase 7, so the evaluation data can indicate which domains actually moved the numbers.</w:t>
      </w:r>
    </w:p>
    <w:p>
      <w:pPr>
        <w:pStyle w:val="Heading2"/>
        <w:spacing w:after="150" w:before="300"/>
      </w:pPr>
      <w:r>
        <w:t xml:space="preserve">A.3 Tier 2 — Valuable, Situational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6200"/>
      </w:tblGrid>
      <w:tr>
        <w:trPr>
          <w:tblHeader/>
        </w:trPr>
        <w:tc>
          <w:tcPr>
            <w:tcW w:type="dxa" w:w="1900"/>
            <w:shd w:fill="1F3864" w:val="clear"/>
            <w:tcMar>
              <w:top w:type="dxa" w:w="80"/>
              <w:left w:type="dxa" w:w="120"/>
              <w:bottom w:type="dxa" w:w="80"/>
              <w:right w:type="dxa" w:w="120"/>
            </w:tcMar>
            <w:vAlign w:val="center"/>
          </w:tcPr>
          <w:p>
            <w:pPr>
              <w:spacing w:after="0"/>
            </w:pPr>
            <w:r>
              <w:rPr>
                <w:b/>
                <w:bCs/>
                <w:color w:val="FFFFFF"/>
                <w:sz w:val="20"/>
                <w:szCs w:val="20"/>
              </w:rPr>
              <w:t xml:space="preserve">Domain</w:t>
            </w:r>
          </w:p>
        </w:tc>
        <w:tc>
          <w:tcPr>
            <w:tcW w:type="dxa" w:w="1250"/>
            <w:shd w:fill="1F3864" w:val="clear"/>
            <w:tcMar>
              <w:top w:type="dxa" w:w="80"/>
              <w:left w:type="dxa" w:w="120"/>
              <w:bottom w:type="dxa" w:w="80"/>
              <w:right w:type="dxa" w:w="120"/>
            </w:tcMar>
            <w:vAlign w:val="center"/>
          </w:tcPr>
          <w:p>
            <w:pPr>
              <w:spacing w:after="0"/>
            </w:pPr>
            <w:r>
              <w:rPr>
                <w:b/>
                <w:bCs/>
                <w:color w:val="FFFFFF"/>
                <w:sz w:val="20"/>
                <w:szCs w:val="20"/>
              </w:rPr>
              <w:t xml:space="preserve">Type</w:t>
            </w:r>
          </w:p>
        </w:tc>
        <w:tc>
          <w:tcPr>
            <w:tcW w:type="dxa" w:w="6200"/>
            <w:shd w:fill="1F3864" w:val="clear"/>
            <w:tcMar>
              <w:top w:type="dxa" w:w="80"/>
              <w:left w:type="dxa" w:w="120"/>
              <w:bottom w:type="dxa" w:w="80"/>
              <w:right w:type="dxa" w:w="120"/>
            </w:tcMar>
            <w:vAlign w:val="center"/>
          </w:tcPr>
          <w:p>
            <w:pPr>
              <w:spacing w:after="0"/>
            </w:pPr>
            <w:r>
              <w:rPr>
                <w:b/>
                <w:bCs/>
                <w:color w:val="FFFFFF"/>
                <w:sz w:val="20"/>
                <w:szCs w:val="20"/>
              </w:rPr>
              <w:t xml:space="preserve">Adopt when</w:t>
            </w:r>
          </w:p>
        </w:tc>
      </w:tr>
      <w:tr>
        <w:tc>
          <w:tcPr>
            <w:tcW w:type="dxa" w:w="1900"/>
            <w:tcMar>
              <w:top w:type="dxa" w:w="80"/>
              <w:left w:type="dxa" w:w="120"/>
              <w:bottom w:type="dxa" w:w="80"/>
              <w:right w:type="dxa" w:w="120"/>
            </w:tcMar>
            <w:vAlign w:val="center"/>
          </w:tcPr>
          <w:p>
            <w:pPr>
              <w:spacing w:after="0"/>
            </w:pPr>
            <w:r>
              <w:rPr>
                <w:sz w:val="20"/>
                <w:szCs w:val="20"/>
              </w:rPr>
              <w:t xml:space="preserve">configuration</w:t>
            </w:r>
          </w:p>
        </w:tc>
        <w:tc>
          <w:tcPr>
            <w:tcW w:type="dxa" w:w="1250"/>
            <w:tcMar>
              <w:top w:type="dxa" w:w="80"/>
              <w:left w:type="dxa" w:w="120"/>
              <w:bottom w:type="dxa" w:w="80"/>
              <w:right w:type="dxa" w:w="120"/>
            </w:tcMar>
            <w:vAlign w:val="center"/>
          </w:tcPr>
          <w:p>
            <w:pPr>
              <w:spacing w:after="0"/>
            </w:pPr>
            <w:r>
              <w:rPr>
                <w:sz w:val="20"/>
                <w:szCs w:val="20"/>
              </w:rPr>
              <w:t xml:space="preserve">Derived</w:t>
            </w:r>
          </w:p>
        </w:tc>
        <w:tc>
          <w:tcPr>
            <w:tcW w:type="dxa" w:w="6200"/>
            <w:tcMar>
              <w:top w:type="dxa" w:w="80"/>
              <w:left w:type="dxa" w:w="120"/>
              <w:bottom w:type="dxa" w:w="80"/>
              <w:right w:type="dxa" w:w="120"/>
            </w:tcMar>
            <w:vAlign w:val="center"/>
          </w:tcPr>
          <w:p>
            <w:pPr>
              <w:spacing w:after="0"/>
            </w:pPr>
            <w:r>
              <w:rPr>
                <w:sz w:val="20"/>
                <w:szCs w:val="20"/>
              </w:rPr>
              <w:t xml:space="preserve">Feature-flag count is non-trivial and agents need to know what is toggleable</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scheduled-jobs</w:t>
            </w:r>
          </w:p>
        </w:tc>
        <w:tc>
          <w:tcPr>
            <w:tcW w:type="dxa" w:w="1250"/>
            <w:shd w:fill="FAFAFA" w:val="clear"/>
            <w:tcMar>
              <w:top w:type="dxa" w:w="80"/>
              <w:left w:type="dxa" w:w="120"/>
              <w:bottom w:type="dxa" w:w="80"/>
              <w:right w:type="dxa" w:w="120"/>
            </w:tcMar>
            <w:vAlign w:val="center"/>
          </w:tcPr>
          <w:p>
            <w:pPr>
              <w:spacing w:after="0"/>
            </w:pPr>
            <w:r>
              <w:rPr>
                <w:sz w:val="20"/>
                <w:szCs w:val="20"/>
              </w:rPr>
              <w:t xml:space="preserve">Hybrid</w:t>
            </w:r>
          </w:p>
        </w:tc>
        <w:tc>
          <w:tcPr>
            <w:tcW w:type="dxa" w:w="6200"/>
            <w:shd w:fill="FAFAFA" w:val="clear"/>
            <w:tcMar>
              <w:top w:type="dxa" w:w="80"/>
              <w:left w:type="dxa" w:w="120"/>
              <w:bottom w:type="dxa" w:w="80"/>
              <w:right w:type="dxa" w:w="120"/>
            </w:tcMar>
            <w:vAlign w:val="center"/>
          </w:tcPr>
          <w:p>
            <w:pPr>
              <w:spacing w:after="0"/>
            </w:pPr>
            <w:r>
              <w:rPr>
                <w:sz w:val="20"/>
                <w:szCs w:val="20"/>
              </w:rPr>
              <w:t xml:space="preserve">There is meaningful background or batch processing</w:t>
            </w:r>
          </w:p>
        </w:tc>
      </w:tr>
      <w:tr>
        <w:tc>
          <w:tcPr>
            <w:tcW w:type="dxa" w:w="1900"/>
            <w:tcMar>
              <w:top w:type="dxa" w:w="80"/>
              <w:left w:type="dxa" w:w="120"/>
              <w:bottom w:type="dxa" w:w="80"/>
              <w:right w:type="dxa" w:w="120"/>
            </w:tcMar>
            <w:vAlign w:val="center"/>
          </w:tcPr>
          <w:p>
            <w:pPr>
              <w:spacing w:after="0"/>
            </w:pPr>
            <w:r>
              <w:rPr>
                <w:sz w:val="20"/>
                <w:szCs w:val="20"/>
              </w:rPr>
              <w:t xml:space="preserve">notifications</w:t>
            </w:r>
          </w:p>
        </w:tc>
        <w:tc>
          <w:tcPr>
            <w:tcW w:type="dxa" w:w="1250"/>
            <w:tcMar>
              <w:top w:type="dxa" w:w="80"/>
              <w:left w:type="dxa" w:w="120"/>
              <w:bottom w:type="dxa" w:w="80"/>
              <w:right w:type="dxa" w:w="120"/>
            </w:tcMar>
            <w:vAlign w:val="center"/>
          </w:tcPr>
          <w:p>
            <w:pPr>
              <w:spacing w:after="0"/>
            </w:pPr>
            <w:r>
              <w:rPr>
                <w:sz w:val="20"/>
                <w:szCs w:val="20"/>
              </w:rPr>
              <w:t xml:space="preserve">Hybrid</w:t>
            </w:r>
          </w:p>
        </w:tc>
        <w:tc>
          <w:tcPr>
            <w:tcW w:type="dxa" w:w="6200"/>
            <w:tcMar>
              <w:top w:type="dxa" w:w="80"/>
              <w:left w:type="dxa" w:w="120"/>
              <w:bottom w:type="dxa" w:w="80"/>
              <w:right w:type="dxa" w:w="120"/>
            </w:tcMar>
            <w:vAlign w:val="center"/>
          </w:tcPr>
          <w:p>
            <w:pPr>
              <w:spacing w:after="0"/>
            </w:pPr>
            <w:r>
              <w:rPr>
                <w:sz w:val="20"/>
                <w:szCs w:val="20"/>
              </w:rPr>
              <w:t xml:space="preserve">Customer communications are a real surface (email, SMS)</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data-lifecycle</w:t>
            </w:r>
          </w:p>
        </w:tc>
        <w:tc>
          <w:tcPr>
            <w:tcW w:type="dxa" w:w="1250"/>
            <w:shd w:fill="FAFAFA" w:val="clear"/>
            <w:tcMar>
              <w:top w:type="dxa" w:w="80"/>
              <w:left w:type="dxa" w:w="120"/>
              <w:bottom w:type="dxa" w:w="80"/>
              <w:right w:type="dxa" w:w="120"/>
            </w:tcMar>
            <w:vAlign w:val="center"/>
          </w:tcPr>
          <w:p>
            <w:pPr>
              <w:spacing w:after="0"/>
            </w:pPr>
            <w:r>
              <w:rPr>
                <w:sz w:val="20"/>
                <w:szCs w:val="20"/>
              </w:rPr>
              <w:t xml:space="preserve">Authored</w:t>
            </w:r>
          </w:p>
        </w:tc>
        <w:tc>
          <w:tcPr>
            <w:tcW w:type="dxa" w:w="6200"/>
            <w:shd w:fill="FAFAFA" w:val="clear"/>
            <w:tcMar>
              <w:top w:type="dxa" w:w="80"/>
              <w:left w:type="dxa" w:w="120"/>
              <w:bottom w:type="dxa" w:w="80"/>
              <w:right w:type="dxa" w:w="120"/>
            </w:tcMar>
            <w:vAlign w:val="center"/>
          </w:tcPr>
          <w:p>
            <w:pPr>
              <w:spacing w:after="0"/>
            </w:pPr>
            <w:r>
              <w:rPr>
                <w:sz w:val="20"/>
                <w:szCs w:val="20"/>
              </w:rPr>
              <w:t xml:space="preserve">Retention, archival, PII classification — compliance-adjacent, likely mandatory here</w:t>
            </w:r>
          </w:p>
        </w:tc>
      </w:tr>
      <w:tr>
        <w:tc>
          <w:tcPr>
            <w:tcW w:type="dxa" w:w="1900"/>
            <w:tcMar>
              <w:top w:type="dxa" w:w="80"/>
              <w:left w:type="dxa" w:w="120"/>
              <w:bottom w:type="dxa" w:w="80"/>
              <w:right w:type="dxa" w:w="120"/>
            </w:tcMar>
            <w:vAlign w:val="center"/>
          </w:tcPr>
          <w:p>
            <w:pPr>
              <w:spacing w:after="0"/>
            </w:pPr>
            <w:r>
              <w:rPr>
                <w:sz w:val="20"/>
                <w:szCs w:val="20"/>
              </w:rPr>
              <w:t xml:space="preserve">observability</w:t>
            </w:r>
          </w:p>
        </w:tc>
        <w:tc>
          <w:tcPr>
            <w:tcW w:type="dxa" w:w="1250"/>
            <w:tcMar>
              <w:top w:type="dxa" w:w="80"/>
              <w:left w:type="dxa" w:w="120"/>
              <w:bottom w:type="dxa" w:w="80"/>
              <w:right w:type="dxa" w:w="120"/>
            </w:tcMar>
            <w:vAlign w:val="center"/>
          </w:tcPr>
          <w:p>
            <w:pPr>
              <w:spacing w:after="0"/>
            </w:pPr>
            <w:r>
              <w:rPr>
                <w:sz w:val="20"/>
                <w:szCs w:val="20"/>
              </w:rPr>
              <w:t xml:space="preserve">Authored</w:t>
            </w:r>
          </w:p>
        </w:tc>
        <w:tc>
          <w:tcPr>
            <w:tcW w:type="dxa" w:w="6200"/>
            <w:tcMar>
              <w:top w:type="dxa" w:w="80"/>
              <w:left w:type="dxa" w:w="120"/>
              <w:bottom w:type="dxa" w:w="80"/>
              <w:right w:type="dxa" w:w="120"/>
            </w:tcMar>
            <w:vAlign w:val="center"/>
          </w:tcPr>
          <w:p>
            <w:pPr>
              <w:spacing w:after="0"/>
            </w:pPr>
            <w:r>
              <w:rPr>
                <w:sz w:val="20"/>
                <w:szCs w:val="20"/>
              </w:rPr>
              <w:t xml:space="preserve">Ops maturity warrants splitting SLOs and runbooks out of non-functional</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metrics</w:t>
            </w:r>
          </w:p>
        </w:tc>
        <w:tc>
          <w:tcPr>
            <w:tcW w:type="dxa" w:w="1250"/>
            <w:shd w:fill="FAFAFA" w:val="clear"/>
            <w:tcMar>
              <w:top w:type="dxa" w:w="80"/>
              <w:left w:type="dxa" w:w="120"/>
              <w:bottom w:type="dxa" w:w="80"/>
              <w:right w:type="dxa" w:w="120"/>
            </w:tcMar>
            <w:vAlign w:val="center"/>
          </w:tcPr>
          <w:p>
            <w:pPr>
              <w:spacing w:after="0"/>
            </w:pPr>
            <w:r>
              <w:rPr>
                <w:sz w:val="20"/>
                <w:szCs w:val="20"/>
              </w:rPr>
              <w:t xml:space="preserve">Authored</w:t>
            </w:r>
          </w:p>
        </w:tc>
        <w:tc>
          <w:tcPr>
            <w:tcW w:type="dxa" w:w="6200"/>
            <w:shd w:fill="FAFAFA" w:val="clear"/>
            <w:tcMar>
              <w:top w:type="dxa" w:w="80"/>
              <w:left w:type="dxa" w:w="120"/>
              <w:bottom w:type="dxa" w:w="80"/>
              <w:right w:type="dxa" w:w="120"/>
            </w:tcMar>
            <w:vAlign w:val="center"/>
          </w:tcPr>
          <w:p>
            <w:pPr>
              <w:spacing w:after="0"/>
            </w:pPr>
            <w:r>
              <w:rPr>
                <w:sz w:val="20"/>
                <w:szCs w:val="20"/>
              </w:rPr>
              <w:t xml:space="preserve">Metric definitions are contested (for example, what counts as an active user)</w:t>
            </w:r>
          </w:p>
        </w:tc>
      </w:tr>
      <w:tr>
        <w:tc>
          <w:tcPr>
            <w:tcW w:type="dxa" w:w="1900"/>
            <w:tcMar>
              <w:top w:type="dxa" w:w="80"/>
              <w:left w:type="dxa" w:w="120"/>
              <w:bottom w:type="dxa" w:w="80"/>
              <w:right w:type="dxa" w:w="120"/>
            </w:tcMar>
            <w:vAlign w:val="center"/>
          </w:tcPr>
          <w:p>
            <w:pPr>
              <w:spacing w:after="0"/>
            </w:pPr>
            <w:r>
              <w:rPr>
                <w:sz w:val="20"/>
                <w:szCs w:val="20"/>
              </w:rPr>
              <w:t xml:space="preserve">localization</w:t>
            </w:r>
          </w:p>
        </w:tc>
        <w:tc>
          <w:tcPr>
            <w:tcW w:type="dxa" w:w="1250"/>
            <w:tcMar>
              <w:top w:type="dxa" w:w="80"/>
              <w:left w:type="dxa" w:w="120"/>
              <w:bottom w:type="dxa" w:w="80"/>
              <w:right w:type="dxa" w:w="120"/>
            </w:tcMar>
            <w:vAlign w:val="center"/>
          </w:tcPr>
          <w:p>
            <w:pPr>
              <w:spacing w:after="0"/>
            </w:pPr>
            <w:r>
              <w:rPr>
                <w:sz w:val="20"/>
                <w:szCs w:val="20"/>
              </w:rPr>
              <w:t xml:space="preserve">Authored</w:t>
            </w:r>
          </w:p>
        </w:tc>
        <w:tc>
          <w:tcPr>
            <w:tcW w:type="dxa" w:w="6200"/>
            <w:tcMar>
              <w:top w:type="dxa" w:w="80"/>
              <w:left w:type="dxa" w:w="120"/>
              <w:bottom w:type="dxa" w:w="80"/>
              <w:right w:type="dxa" w:w="120"/>
            </w:tcMar>
            <w:vAlign w:val="center"/>
          </w:tcPr>
          <w:p>
            <w:pPr>
              <w:spacing w:after="0"/>
            </w:pPr>
            <w:r>
              <w:rPr>
                <w:sz w:val="20"/>
                <w:szCs w:val="20"/>
              </w:rPr>
              <w:t xml:space="preserve">Multi-region: currency, timezone, date format, units</w:t>
            </w:r>
          </w:p>
        </w:tc>
      </w:tr>
      <w:tr>
        <w:tc>
          <w:tcPr>
            <w:tcW w:type="dxa" w:w="1900"/>
            <w:shd w:fill="FAFAFA" w:val="clear"/>
            <w:tcMar>
              <w:top w:type="dxa" w:w="80"/>
              <w:left w:type="dxa" w:w="120"/>
              <w:bottom w:type="dxa" w:w="80"/>
              <w:right w:type="dxa" w:w="120"/>
            </w:tcMar>
            <w:vAlign w:val="center"/>
          </w:tcPr>
          <w:p>
            <w:pPr>
              <w:spacing w:after="0"/>
            </w:pPr>
            <w:r>
              <w:rPr>
                <w:sz w:val="20"/>
                <w:szCs w:val="20"/>
              </w:rPr>
              <w:t xml:space="preserve">test-strategy</w:t>
            </w:r>
          </w:p>
        </w:tc>
        <w:tc>
          <w:tcPr>
            <w:tcW w:type="dxa" w:w="1250"/>
            <w:shd w:fill="FAFAFA" w:val="clear"/>
            <w:tcMar>
              <w:top w:type="dxa" w:w="80"/>
              <w:left w:type="dxa" w:w="120"/>
              <w:bottom w:type="dxa" w:w="80"/>
              <w:right w:type="dxa" w:w="120"/>
            </w:tcMar>
            <w:vAlign w:val="center"/>
          </w:tcPr>
          <w:p>
            <w:pPr>
              <w:spacing w:after="0"/>
            </w:pPr>
            <w:r>
              <w:rPr>
                <w:sz w:val="20"/>
                <w:szCs w:val="20"/>
              </w:rPr>
              <w:t xml:space="preserve">Authored</w:t>
            </w:r>
          </w:p>
        </w:tc>
        <w:tc>
          <w:tcPr>
            <w:tcW w:type="dxa" w:w="6200"/>
            <w:shd w:fill="FAFAFA" w:val="clear"/>
            <w:tcMar>
              <w:top w:type="dxa" w:w="80"/>
              <w:left w:type="dxa" w:w="120"/>
              <w:bottom w:type="dxa" w:w="80"/>
              <w:right w:type="dxa" w:w="120"/>
            </w:tcMar>
            <w:vAlign w:val="center"/>
          </w:tcPr>
          <w:p>
            <w:pPr>
              <w:spacing w:after="0"/>
            </w:pPr>
            <w:r>
              <w:rPr>
                <w:sz w:val="20"/>
                <w:szCs w:val="20"/>
              </w:rPr>
              <w:t xml:space="preserve">Feeds the QA automation roadmap directly</w:t>
            </w:r>
          </w:p>
        </w:tc>
      </w:tr>
      <w:tr>
        <w:tc>
          <w:tcPr>
            <w:tcW w:type="dxa" w:w="1900"/>
            <w:tcMar>
              <w:top w:type="dxa" w:w="80"/>
              <w:left w:type="dxa" w:w="120"/>
              <w:bottom w:type="dxa" w:w="80"/>
              <w:right w:type="dxa" w:w="120"/>
            </w:tcMar>
            <w:vAlign w:val="center"/>
          </w:tcPr>
          <w:p>
            <w:pPr>
              <w:spacing w:after="0"/>
            </w:pPr>
            <w:r>
              <w:rPr>
                <w:sz w:val="20"/>
                <w:szCs w:val="20"/>
              </w:rPr>
              <w:t xml:space="preserve">migration-state</w:t>
            </w:r>
          </w:p>
        </w:tc>
        <w:tc>
          <w:tcPr>
            <w:tcW w:type="dxa" w:w="1250"/>
            <w:tcMar>
              <w:top w:type="dxa" w:w="80"/>
              <w:left w:type="dxa" w:w="120"/>
              <w:bottom w:type="dxa" w:w="80"/>
              <w:right w:type="dxa" w:w="120"/>
            </w:tcMar>
            <w:vAlign w:val="center"/>
          </w:tcPr>
          <w:p>
            <w:pPr>
              <w:spacing w:after="0"/>
            </w:pPr>
            <w:r>
              <w:rPr>
                <w:sz w:val="20"/>
                <w:szCs w:val="20"/>
              </w:rPr>
              <w:t xml:space="preserve">Authored</w:t>
            </w:r>
          </w:p>
        </w:tc>
        <w:tc>
          <w:tcPr>
            <w:tcW w:type="dxa" w:w="6200"/>
            <w:tcMar>
              <w:top w:type="dxa" w:w="80"/>
              <w:left w:type="dxa" w:w="120"/>
              <w:bottom w:type="dxa" w:w="80"/>
              <w:right w:type="dxa" w:w="120"/>
            </w:tcMar>
            <w:vAlign w:val="center"/>
          </w:tcPr>
          <w:p>
            <w:pPr>
              <w:spacing w:after="0"/>
            </w:pPr>
            <w:r>
              <w:rPr>
                <w:sz w:val="20"/>
                <w:szCs w:val="20"/>
              </w:rPr>
              <w:t xml:space="preserve">Mid-refactor: this pattern is being replaced, do not extend it</w:t>
            </w:r>
          </w:p>
        </w:tc>
      </w:tr>
    </w:tbl>
    <w:p>
      <w:pPr>
        <w:pStyle w:val="Heading2"/>
        <w:spacing w:after="150" w:before="300"/>
      </w:pPr>
      <w:r>
        <w:t xml:space="preserve">A.4 Tier 3 — Deliberately Excluded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3864" w:val="clear"/>
            <w:tcMar>
              <w:top w:type="dxa" w:w="80"/>
              <w:left w:type="dxa" w:w="120"/>
              <w:bottom w:type="dxa" w:w="80"/>
              <w:right w:type="dxa" w:w="120"/>
            </w:tcMar>
            <w:vAlign w:val="center"/>
          </w:tcPr>
          <w:p>
            <w:pPr>
              <w:spacing w:after="0"/>
            </w:pPr>
            <w:r>
              <w:rPr>
                <w:b/>
                <w:bCs/>
                <w:color w:val="FFFFFF"/>
                <w:sz w:val="20"/>
                <w:szCs w:val="20"/>
              </w:rPr>
              <w:t xml:space="preserve">Candidate</w:t>
            </w:r>
          </w:p>
        </w:tc>
        <w:tc>
          <w:tcPr>
            <w:tcW w:type="dxa" w:w="6250"/>
            <w:shd w:fill="1F3864" w:val="clear"/>
            <w:tcMar>
              <w:top w:type="dxa" w:w="80"/>
              <w:left w:type="dxa" w:w="120"/>
              <w:bottom w:type="dxa" w:w="80"/>
              <w:right w:type="dxa" w:w="120"/>
            </w:tcMar>
            <w:vAlign w:val="center"/>
          </w:tcPr>
          <w:p>
            <w:pPr>
              <w:spacing w:after="0"/>
            </w:pPr>
            <w:r>
              <w:rPr>
                <w:b/>
                <w:bCs/>
                <w:color w:val="FFFFFF"/>
                <w:sz w:val="20"/>
                <w:szCs w:val="20"/>
              </w:rPr>
              <w:t xml:space="preserve">Why not</w:t>
            </w:r>
          </w:p>
        </w:tc>
      </w:tr>
      <w:tr>
        <w:tc>
          <w:tcPr>
            <w:tcW w:type="dxa" w:w="3100"/>
            <w:tcMar>
              <w:top w:type="dxa" w:w="80"/>
              <w:left w:type="dxa" w:w="120"/>
              <w:bottom w:type="dxa" w:w="80"/>
              <w:right w:type="dxa" w:w="120"/>
            </w:tcMar>
            <w:vAlign w:val="center"/>
          </w:tcPr>
          <w:p>
            <w:pPr>
              <w:spacing w:after="0"/>
            </w:pPr>
            <w:r>
              <w:rPr>
                <w:sz w:val="20"/>
                <w:szCs w:val="20"/>
              </w:rPr>
              <w:t xml:space="preserve">User personas / journeys</w:t>
            </w:r>
          </w:p>
        </w:tc>
        <w:tc>
          <w:tcPr>
            <w:tcW w:type="dxa" w:w="6250"/>
            <w:tcMar>
              <w:top w:type="dxa" w:w="80"/>
              <w:left w:type="dxa" w:w="120"/>
              <w:bottom w:type="dxa" w:w="80"/>
              <w:right w:type="dxa" w:w="120"/>
            </w:tcMar>
            <w:vAlign w:val="center"/>
          </w:tcPr>
          <w:p>
            <w:pPr>
              <w:spacing w:after="0"/>
            </w:pPr>
            <w:r>
              <w:rPr>
                <w:sz w:val="20"/>
                <w:szCs w:val="20"/>
              </w:rPr>
              <w:t xml:space="preserve">Valuable to product, rarely changes agent output</w:t>
            </w:r>
          </w:p>
        </w:tc>
      </w:tr>
      <w:tr>
        <w:tc>
          <w:tcPr>
            <w:tcW w:type="dxa" w:w="3100"/>
            <w:shd w:fill="FAFAFA" w:val="clear"/>
            <w:tcMar>
              <w:top w:type="dxa" w:w="80"/>
              <w:left w:type="dxa" w:w="120"/>
              <w:bottom w:type="dxa" w:w="80"/>
              <w:right w:type="dxa" w:w="120"/>
            </w:tcMar>
            <w:vAlign w:val="center"/>
          </w:tcPr>
          <w:p>
            <w:pPr>
              <w:spacing w:after="0"/>
            </w:pPr>
            <w:r>
              <w:rPr>
                <w:sz w:val="20"/>
                <w:szCs w:val="20"/>
              </w:rPr>
              <w:t xml:space="preserve">Coding standards</w:t>
            </w:r>
          </w:p>
        </w:tc>
        <w:tc>
          <w:tcPr>
            <w:tcW w:type="dxa" w:w="6250"/>
            <w:shd w:fill="FAFAFA" w:val="clear"/>
            <w:tcMar>
              <w:top w:type="dxa" w:w="80"/>
              <w:left w:type="dxa" w:w="120"/>
              <w:bottom w:type="dxa" w:w="80"/>
              <w:right w:type="dxa" w:w="120"/>
            </w:tcMar>
            <w:vAlign w:val="center"/>
          </w:tcPr>
          <w:p>
            <w:pPr>
              <w:spacing w:after="0"/>
            </w:pPr>
            <w:r>
              <w:rPr>
                <w:sz w:val="20"/>
                <w:szCs w:val="20"/>
              </w:rPr>
              <w:t xml:space="preserve">Belongs in linters and copilot-instructions.md</w:t>
            </w:r>
          </w:p>
        </w:tc>
      </w:tr>
      <w:tr>
        <w:tc>
          <w:tcPr>
            <w:tcW w:type="dxa" w:w="3100"/>
            <w:tcMar>
              <w:top w:type="dxa" w:w="80"/>
              <w:left w:type="dxa" w:w="120"/>
              <w:bottom w:type="dxa" w:w="80"/>
              <w:right w:type="dxa" w:w="120"/>
            </w:tcMar>
            <w:vAlign w:val="center"/>
          </w:tcPr>
          <w:p>
            <w:pPr>
              <w:spacing w:after="0"/>
            </w:pPr>
            <w:r>
              <w:rPr>
                <w:sz w:val="20"/>
                <w:szCs w:val="20"/>
              </w:rPr>
              <w:t xml:space="preserve">Sequence diagrams</w:t>
            </w:r>
          </w:p>
        </w:tc>
        <w:tc>
          <w:tcPr>
            <w:tcW w:type="dxa" w:w="6250"/>
            <w:tcMar>
              <w:top w:type="dxa" w:w="80"/>
              <w:left w:type="dxa" w:w="120"/>
              <w:bottom w:type="dxa" w:w="80"/>
              <w:right w:type="dxa" w:w="120"/>
            </w:tcMar>
            <w:vAlign w:val="center"/>
          </w:tcPr>
          <w:p>
            <w:pPr>
              <w:spacing w:after="0"/>
            </w:pPr>
            <w:r>
              <w:rPr>
                <w:sz w:val="20"/>
                <w:szCs w:val="20"/>
              </w:rPr>
              <w:t xml:space="preserve">High maintenance, low agent uplift; workflows already carries the semantics</w:t>
            </w:r>
          </w:p>
        </w:tc>
      </w:tr>
      <w:tr>
        <w:tc>
          <w:tcPr>
            <w:tcW w:type="dxa" w:w="3100"/>
            <w:shd w:fill="FAFAFA" w:val="clear"/>
            <w:tcMar>
              <w:top w:type="dxa" w:w="80"/>
              <w:left w:type="dxa" w:w="120"/>
              <w:bottom w:type="dxa" w:w="80"/>
              <w:right w:type="dxa" w:w="120"/>
            </w:tcMar>
            <w:vAlign w:val="center"/>
          </w:tcPr>
          <w:p>
            <w:pPr>
              <w:spacing w:after="0"/>
            </w:pPr>
            <w:r>
              <w:rPr>
                <w:sz w:val="20"/>
                <w:szCs w:val="20"/>
              </w:rPr>
              <w:t xml:space="preserve">Tech debt register</w:t>
            </w:r>
          </w:p>
        </w:tc>
        <w:tc>
          <w:tcPr>
            <w:tcW w:type="dxa" w:w="6250"/>
            <w:shd w:fill="FAFAFA" w:val="clear"/>
            <w:tcMar>
              <w:top w:type="dxa" w:w="80"/>
              <w:left w:type="dxa" w:w="120"/>
              <w:bottom w:type="dxa" w:w="80"/>
              <w:right w:type="dxa" w:w="120"/>
            </w:tcMar>
            <w:vAlign w:val="center"/>
          </w:tcPr>
          <w:p>
            <w:pPr>
              <w:spacing w:after="0"/>
            </w:pPr>
            <w:r>
              <w:rPr>
                <w:sz w:val="20"/>
                <w:szCs w:val="20"/>
              </w:rPr>
              <w:t xml:space="preserve">A backlog, not knowledge — keep in ADO</w:t>
            </w:r>
          </w:p>
        </w:tc>
      </w:tr>
      <w:tr>
        <w:tc>
          <w:tcPr>
            <w:tcW w:type="dxa" w:w="3100"/>
            <w:tcMar>
              <w:top w:type="dxa" w:w="80"/>
              <w:left w:type="dxa" w:w="120"/>
              <w:bottom w:type="dxa" w:w="80"/>
              <w:right w:type="dxa" w:w="120"/>
            </w:tcMar>
            <w:vAlign w:val="center"/>
          </w:tcPr>
          <w:p>
            <w:pPr>
              <w:spacing w:after="0"/>
            </w:pPr>
            <w:r>
              <w:rPr>
                <w:sz w:val="20"/>
                <w:szCs w:val="20"/>
              </w:rPr>
              <w:t xml:space="preserve">File / folder structure</w:t>
            </w:r>
          </w:p>
        </w:tc>
        <w:tc>
          <w:tcPr>
            <w:tcW w:type="dxa" w:w="6250"/>
            <w:tcMar>
              <w:top w:type="dxa" w:w="80"/>
              <w:left w:type="dxa" w:w="120"/>
              <w:bottom w:type="dxa" w:w="80"/>
              <w:right w:type="dxa" w:w="120"/>
            </w:tcMar>
            <w:vAlign w:val="center"/>
          </w:tcPr>
          <w:p>
            <w:pPr>
              <w:spacing w:after="0"/>
            </w:pPr>
            <w:r>
              <w:rPr>
                <w:sz w:val="20"/>
                <w:szCs w:val="20"/>
              </w:rPr>
              <w:t xml:space="preserve">Actively harmful: paths change and mislead agents (see Section 5.3)</w:t>
            </w:r>
          </w:p>
        </w:tc>
      </w:tr>
      <w:tr>
        <w:tc>
          <w:tcPr>
            <w:tcW w:type="dxa" w:w="3100"/>
            <w:shd w:fill="FAFAFA" w:val="clear"/>
            <w:tcMar>
              <w:top w:type="dxa" w:w="80"/>
              <w:left w:type="dxa" w:w="120"/>
              <w:bottom w:type="dxa" w:w="80"/>
              <w:right w:type="dxa" w:w="120"/>
            </w:tcMar>
            <w:vAlign w:val="center"/>
          </w:tcPr>
          <w:p>
            <w:pPr>
              <w:spacing w:after="0"/>
            </w:pPr>
            <w:r>
              <w:rPr>
                <w:sz w:val="20"/>
                <w:szCs w:val="20"/>
              </w:rPr>
              <w:t xml:space="preserve">Caching strategy</w:t>
            </w:r>
          </w:p>
        </w:tc>
        <w:tc>
          <w:tcPr>
            <w:tcW w:type="dxa" w:w="6250"/>
            <w:shd w:fill="FAFAFA" w:val="clear"/>
            <w:tcMar>
              <w:top w:type="dxa" w:w="80"/>
              <w:left w:type="dxa" w:w="120"/>
              <w:bottom w:type="dxa" w:w="80"/>
              <w:right w:type="dxa" w:w="120"/>
            </w:tcMar>
            <w:vAlign w:val="center"/>
          </w:tcPr>
          <w:p>
            <w:pPr>
              <w:spacing w:after="0"/>
            </w:pPr>
            <w:r>
              <w:rPr>
                <w:sz w:val="20"/>
                <w:szCs w:val="20"/>
              </w:rPr>
              <w:t xml:space="preserve">Usually a paragraph in an ADR, not a domain</w:t>
            </w:r>
          </w:p>
        </w:tc>
      </w:tr>
    </w:tbl>
    <w:p>
      <w:pPr>
        <w:pStyle w:val="Heading2"/>
        <w:spacing w:after="150" w:before="300"/>
      </w:pPr>
      <w:r>
        <w:t xml:space="preserve">A.5 Adding a Domain Later</w:t>
      </w:r>
    </w:p>
    <w:p>
      <w:pPr>
        <w:spacing w:after="160" w:line="276"/>
      </w:pPr>
      <w:r>
        <w:t xml:space="preserve">Any new domain requires: a passing result on both tests in A.1; a named owning team and fallback owner in OWNERS.md; a template in _governance/schema-templates/; a CODEOWNERS entry; and, if derived or hybrid, a working generator before any content is authored by hand.</w:t>
      </w:r>
    </w:p>
    <w:p>
      <w:r>
        <w:br w:type="page"/>
      </w:r>
    </w:p>
    <w:p>
      <w:pPr>
        <w:pStyle w:val="Heading1"/>
        <w:spacing w:after="200" w:before="400"/>
      </w:pPr>
      <w:r>
        <w:t xml:space="preserve">Appendix B: Authored Domain Template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id: &lt;APP&gt;-&lt;DOMAIN&gt;-&lt;NNN&gt;</w:t>
            </w:r>
          </w:p>
          <w:p>
            <w:pPr>
              <w:spacing w:after="0"/>
            </w:pPr>
            <w:r>
              <w:rPr>
                <w:rFonts w:ascii="Consolas" w:cs="Consolas" w:eastAsia="Consolas" w:hAnsi="Consolas"/>
                <w:sz w:val="18"/>
                <w:szCs w:val="18"/>
              </w:rPr>
              <w:t xml:space="preserve">domain: &lt;business-rules|workflows|validation-rules|</w:t>
            </w:r>
          </w:p>
          <w:p>
            <w:pPr>
              <w:spacing w:after="0"/>
            </w:pPr>
            <w:r>
              <w:rPr>
                <w:rFonts w:ascii="Consolas" w:cs="Consolas" w:eastAsia="Consolas" w:hAnsi="Consolas"/>
                <w:sz w:val="18"/>
                <w:szCs w:val="18"/>
              </w:rPr>
              <w:t xml:space="preserve">         non-functional|glossary|decisions&gt;</w:t>
            </w:r>
          </w:p>
          <w:p>
            <w:pPr>
              <w:spacing w:after="0"/>
            </w:pPr>
            <w:r>
              <w:rPr>
                <w:rFonts w:ascii="Consolas" w:cs="Consolas" w:eastAsia="Consolas" w:hAnsi="Consolas"/>
                <w:sz w:val="18"/>
                <w:szCs w:val="18"/>
              </w:rPr>
              <w:t xml:space="preserve">title: &lt;short descriptive title&gt;</w:t>
            </w:r>
          </w:p>
          <w:p>
            <w:pPr>
              <w:spacing w:after="0"/>
            </w:pPr>
            <w:r>
              <w:rPr>
                <w:rFonts w:ascii="Consolas" w:cs="Consolas" w:eastAsia="Consolas" w:hAnsi="Consolas"/>
                <w:sz w:val="18"/>
                <w:szCs w:val="18"/>
              </w:rPr>
              <w:t xml:space="preserve">owner_team: &lt;ba|frontend|backend|qa|architecture&gt;</w:t>
            </w:r>
          </w:p>
          <w:p>
            <w:pPr>
              <w:spacing w:after="0"/>
            </w:pPr>
            <w:r>
              <w:rPr>
                <w:rFonts w:ascii="Consolas" w:cs="Consolas" w:eastAsia="Consolas" w:hAnsi="Consolas"/>
                <w:sz w:val="18"/>
                <w:szCs w:val="18"/>
              </w:rPr>
              <w:t xml:space="preserve">status: draft</w:t>
            </w:r>
          </w:p>
          <w:p>
            <w:pPr>
              <w:spacing w:after="0"/>
            </w:pPr>
            <w:r>
              <w:rPr>
                <w:rFonts w:ascii="Consolas" w:cs="Consolas" w:eastAsia="Consolas" w:hAnsi="Consolas"/>
                <w:sz w:val="18"/>
                <w:szCs w:val="18"/>
              </w:rPr>
              <w:t xml:space="preserve">sensitivity: internal</w:t>
            </w:r>
          </w:p>
          <w:p>
            <w:pPr>
              <w:spacing w:after="0"/>
            </w:pPr>
            <w:r>
              <w:rPr>
                <w:rFonts w:ascii="Consolas" w:cs="Consolas" w:eastAsia="Consolas" w:hAnsi="Consolas"/>
                <w:sz w:val="18"/>
                <w:szCs w:val="18"/>
              </w:rPr>
              <w:t xml:space="preserve">last_reviewed: &lt;YYYY-MM-DD&gt;</w:t>
            </w:r>
          </w:p>
          <w:p>
            <w:pPr>
              <w:spacing w:after="0"/>
            </w:pPr>
            <w:r>
              <w:rPr>
                <w:rFonts w:ascii="Consolas" w:cs="Consolas" w:eastAsia="Consolas" w:hAnsi="Consolas"/>
                <w:sz w:val="18"/>
                <w:szCs w:val="18"/>
              </w:rPr>
              <w:t xml:space="preserve">tracks:</w:t>
            </w:r>
          </w:p>
          <w:p>
            <w:pPr>
              <w:spacing w:after="0"/>
            </w:pPr>
            <w:r>
              <w:rPr>
                <w:rFonts w:ascii="Consolas" w:cs="Consolas" w:eastAsia="Consolas" w:hAnsi="Consolas"/>
                <w:sz w:val="18"/>
                <w:szCs w:val="18"/>
              </w:rPr>
              <w:t xml:space="preserve">  - &lt;code path glob this describes&gt;</w:t>
            </w:r>
          </w:p>
          <w:p>
            <w:pPr>
              <w:spacing w:after="0"/>
            </w:pPr>
            <w:r>
              <w:rPr>
                <w:rFonts w:ascii="Consolas" w:cs="Consolas" w:eastAsia="Consolas" w:hAnsi="Consolas"/>
                <w:sz w:val="18"/>
                <w:szCs w:val="18"/>
              </w:rPr>
              <w:t xml:space="preserve">related:</w:t>
            </w:r>
          </w:p>
          <w:p>
            <w:pPr>
              <w:spacing w:after="0"/>
            </w:pPr>
            <w:r>
              <w:rPr>
                <w:rFonts w:ascii="Consolas" w:cs="Consolas" w:eastAsia="Consolas" w:hAnsi="Consolas"/>
                <w:sz w:val="18"/>
                <w:szCs w:val="18"/>
              </w:rPr>
              <w:t xml:space="preserve">  - &lt;related-doc-id&gt;</w:t>
            </w:r>
          </w:p>
          <w:p>
            <w:pPr>
              <w:spacing w:after="0"/>
            </w:pPr>
            <w:r>
              <w:rPr>
                <w:rFonts w:ascii="Consolas" w:cs="Consolas" w:eastAsia="Consolas" w:hAnsi="Consolas"/>
                <w:sz w:val="18"/>
                <w:szCs w:val="18"/>
              </w:rPr>
              <w:t xml:space="preserve">superseded_by: null</w:t>
            </w:r>
          </w:p>
          <w:p>
            <w:pPr>
              <w:spacing w:after="0"/>
            </w:pPr>
            <w:r>
              <w:rPr>
                <w:rFonts w:ascii="Consolas" w:cs="Consolas" w:eastAsia="Consolas" w:hAnsi="Consolas"/>
                <w:sz w:val="18"/>
                <w:szCs w:val="18"/>
              </w:rPr>
              <w:t xml:space="preserve">authored_by: human        # human | agent (see 9.4)</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Description</w:t>
            </w:r>
          </w:p>
          <w:p>
            <w:pPr>
              <w:spacing w:after="0"/>
            </w:pPr>
            <w:r>
              <w:rPr>
                <w:rFonts w:ascii="Consolas" w:cs="Consolas" w:eastAsia="Consolas" w:hAnsi="Consolas"/>
                <w:sz w:val="18"/>
                <w:szCs w:val="18"/>
              </w:rPr>
              <w:t xml:space="preserve">&lt;plain-language explanation of the behavior&gt;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Constraints</w:t>
            </w:r>
          </w:p>
          <w:p>
            <w:pPr>
              <w:spacing w:after="0"/>
            </w:pPr>
            <w:r>
              <w:rPr>
                <w:rFonts w:ascii="Consolas" w:cs="Consolas" w:eastAsia="Consolas" w:hAnsi="Consolas"/>
                <w:sz w:val="18"/>
                <w:szCs w:val="18"/>
              </w:rPr>
              <w:t xml:space="preserve">&lt;what an implementer or AI agent must not violate&gt;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Rationale</w:t>
            </w:r>
          </w:p>
          <w:p>
            <w:pPr>
              <w:spacing w:after="0"/>
            </w:pPr>
            <w:r>
              <w:rPr>
                <w:rFonts w:ascii="Consolas" w:cs="Consolas" w:eastAsia="Consolas" w:hAnsi="Consolas"/>
                <w:sz w:val="18"/>
                <w:szCs w:val="18"/>
              </w:rPr>
              <w:t xml:space="preserve">&lt;why it works this way — prevents refactors that undo deliberate choices&gt;</w:t>
            </w:r>
          </w:p>
        </w:tc>
      </w:tr>
    </w:tbl>
    <w:p>
      <w:pPr>
        <w:spacing w:after="300"/>
      </w:pPr>
    </w:p>
    <w:p>
      <w:pPr>
        <w:pStyle w:val="Heading1"/>
        <w:spacing w:after="200" w:before="400"/>
      </w:pPr>
      <w:r>
        <w:t xml:space="preserve">Appendix C: Derived Domain Template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id: &lt;APP&gt;-DB-&lt;table&gt;</w:t>
            </w:r>
          </w:p>
          <w:p>
            <w:pPr>
              <w:spacing w:after="0"/>
            </w:pPr>
            <w:r>
              <w:rPr>
                <w:rFonts w:ascii="Consolas" w:cs="Consolas" w:eastAsia="Consolas" w:hAnsi="Consolas"/>
                <w:sz w:val="18"/>
                <w:szCs w:val="18"/>
              </w:rPr>
              <w:t xml:space="preserve">domain: db-schema</w:t>
            </w:r>
          </w:p>
          <w:p>
            <w:pPr>
              <w:spacing w:after="0"/>
            </w:pPr>
            <w:r>
              <w:rPr>
                <w:rFonts w:ascii="Consolas" w:cs="Consolas" w:eastAsia="Consolas" w:hAnsi="Consolas"/>
                <w:sz w:val="18"/>
                <w:szCs w:val="18"/>
              </w:rPr>
              <w:t xml:space="preserve">generated_from: migrations/</w:t>
            </w:r>
          </w:p>
          <w:p>
            <w:pPr>
              <w:spacing w:after="0"/>
            </w:pPr>
            <w:r>
              <w:rPr>
                <w:rFonts w:ascii="Consolas" w:cs="Consolas" w:eastAsia="Consolas" w:hAnsi="Consolas"/>
                <w:sz w:val="18"/>
                <w:szCs w:val="18"/>
              </w:rPr>
              <w:t xml:space="preserve">generator_version: 1.0</w:t>
            </w:r>
          </w:p>
          <w:p>
            <w:pPr>
              <w:spacing w:after="0"/>
            </w:pPr>
            <w:r>
              <w:rPr>
                <w:rFonts w:ascii="Consolas" w:cs="Consolas" w:eastAsia="Consolas" w:hAnsi="Consolas"/>
                <w:sz w:val="18"/>
                <w:szCs w:val="18"/>
              </w:rPr>
              <w:t xml:space="preserve">status: approved</w:t>
            </w:r>
          </w:p>
          <w:p>
            <w:pPr>
              <w:spacing w:after="0"/>
            </w:pPr>
            <w:r>
              <w:rPr>
                <w:rFonts w:ascii="Consolas" w:cs="Consolas" w:eastAsia="Consolas" w:hAnsi="Consolas"/>
                <w:sz w:val="18"/>
                <w:szCs w:val="18"/>
              </w:rPr>
              <w:t xml:space="preserve">sensitivity: internal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 GENERATED:START — do not edit by hand --&gt;</w:t>
            </w:r>
          </w:p>
          <w:p>
            <w:pPr>
              <w:spacing w:after="0"/>
            </w:pPr>
            <w:r>
              <w:rPr>
                <w:rFonts w:ascii="Consolas" w:cs="Consolas" w:eastAsia="Consolas" w:hAnsi="Consolas"/>
                <w:sz w:val="18"/>
                <w:szCs w:val="18"/>
              </w:rPr>
              <w:t xml:space="preserve">&lt;!-- generator output --&gt;</w:t>
            </w:r>
          </w:p>
          <w:p>
            <w:pPr>
              <w:spacing w:after="0"/>
            </w:pPr>
            <w:r>
              <w:rPr>
                <w:rFonts w:ascii="Consolas" w:cs="Consolas" w:eastAsia="Consolas" w:hAnsi="Consolas"/>
                <w:sz w:val="18"/>
                <w:szCs w:val="18"/>
              </w:rPr>
              <w:t xml:space="preserve">&lt;!-- GENERATED:END --&gt;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Intent</w:t>
            </w:r>
          </w:p>
          <w:p>
            <w:pPr>
              <w:spacing w:after="0"/>
            </w:pPr>
            <w:r>
              <w:rPr>
                <w:rFonts w:ascii="Consolas" w:cs="Consolas" w:eastAsia="Consolas" w:hAnsi="Consolas"/>
                <w:sz w:val="18"/>
                <w:szCs w:val="18"/>
              </w:rPr>
              <w:t xml:space="preserve">&lt;the only human-maintained section: why these constraints exist&gt;</w:t>
            </w:r>
          </w:p>
        </w:tc>
      </w:tr>
    </w:tbl>
    <w:p>
      <w:pPr>
        <w:spacing w:after="300"/>
      </w:pPr>
    </w:p>
    <w:p>
      <w:pPr>
        <w:pStyle w:val="Heading1"/>
        <w:spacing w:after="200" w:before="400"/>
      </w:pPr>
      <w:r>
        <w:t xml:space="preserve">Appendix D: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80"/>
              <w:left w:type="dxa" w:w="120"/>
              <w:bottom w:type="dxa" w:w="80"/>
              <w:right w:type="dxa" w:w="120"/>
            </w:tcMar>
            <w:vAlign w:val="center"/>
          </w:tcPr>
          <w:p>
            <w:pPr>
              <w:spacing w:after="0"/>
            </w:pPr>
            <w:r>
              <w:rPr>
                <w:b/>
                <w:bCs/>
                <w:color w:val="FFFFFF"/>
                <w:sz w:val="20"/>
                <w:szCs w:val="20"/>
              </w:rPr>
              <w:t xml:space="preserve">Term</w:t>
            </w:r>
          </w:p>
        </w:tc>
        <w:tc>
          <w:tcPr>
            <w:tcW w:type="dxa" w:w="7050"/>
            <w:shd w:fill="1F3864" w:val="clear"/>
            <w:tcMar>
              <w:top w:type="dxa" w:w="80"/>
              <w:left w:type="dxa" w:w="120"/>
              <w:bottom w:type="dxa" w:w="80"/>
              <w:right w:type="dxa" w:w="120"/>
            </w:tcMar>
            <w:vAlign w:val="center"/>
          </w:tcPr>
          <w:p>
            <w:pPr>
              <w:spacing w:after="0"/>
            </w:pPr>
            <w:r>
              <w:rPr>
                <w:b/>
                <w:bCs/>
                <w:color w:val="FFFFFF"/>
                <w:sz w:val="20"/>
                <w:szCs w:val="20"/>
              </w:rPr>
              <w:t xml:space="preserve">Meaning</w:t>
            </w:r>
          </w:p>
        </w:tc>
      </w:tr>
      <w:tr>
        <w:tc>
          <w:tcPr>
            <w:tcW w:type="dxa" w:w="2300"/>
            <w:tcMar>
              <w:top w:type="dxa" w:w="80"/>
              <w:left w:type="dxa" w:w="120"/>
              <w:bottom w:type="dxa" w:w="80"/>
              <w:right w:type="dxa" w:w="120"/>
            </w:tcMar>
            <w:vAlign w:val="center"/>
          </w:tcPr>
          <w:p>
            <w:pPr>
              <w:spacing w:after="0"/>
            </w:pPr>
            <w:r>
              <w:rPr>
                <w:sz w:val="20"/>
                <w:szCs w:val="20"/>
              </w:rPr>
              <w:t xml:space="preserve">AKL</w:t>
            </w:r>
          </w:p>
        </w:tc>
        <w:tc>
          <w:tcPr>
            <w:tcW w:type="dxa" w:w="7050"/>
            <w:tcMar>
              <w:top w:type="dxa" w:w="80"/>
              <w:left w:type="dxa" w:w="120"/>
              <w:bottom w:type="dxa" w:w="80"/>
              <w:right w:type="dxa" w:w="120"/>
            </w:tcMar>
            <w:vAlign w:val="center"/>
          </w:tcPr>
          <w:p>
            <w:pPr>
              <w:spacing w:after="0"/>
            </w:pPr>
            <w:r>
              <w:rPr>
                <w:sz w:val="20"/>
                <w:szCs w:val="20"/>
              </w:rPr>
              <w:t xml:space="preserve">Application Knowledge Layer — the system described in this document</w:t>
            </w:r>
          </w:p>
        </w:tc>
      </w:tr>
      <w:tr>
        <w:tc>
          <w:tcPr>
            <w:tcW w:type="dxa" w:w="2300"/>
            <w:shd w:fill="FAFAFA" w:val="clear"/>
            <w:tcMar>
              <w:top w:type="dxa" w:w="80"/>
              <w:left w:type="dxa" w:w="120"/>
              <w:bottom w:type="dxa" w:w="80"/>
              <w:right w:type="dxa" w:w="120"/>
            </w:tcMar>
            <w:vAlign w:val="center"/>
          </w:tcPr>
          <w:p>
            <w:pPr>
              <w:spacing w:after="0"/>
            </w:pPr>
            <w:r>
              <w:rPr>
                <w:sz w:val="20"/>
                <w:szCs w:val="20"/>
              </w:rPr>
              <w:t xml:space="preserve">Derived domain</w:t>
            </w:r>
          </w:p>
        </w:tc>
        <w:tc>
          <w:tcPr>
            <w:tcW w:type="dxa" w:w="7050"/>
            <w:shd w:fill="FAFAFA" w:val="clear"/>
            <w:tcMar>
              <w:top w:type="dxa" w:w="80"/>
              <w:left w:type="dxa" w:w="120"/>
              <w:bottom w:type="dxa" w:w="80"/>
              <w:right w:type="dxa" w:w="120"/>
            </w:tcMar>
            <w:vAlign w:val="center"/>
          </w:tcPr>
          <w:p>
            <w:pPr>
              <w:spacing w:after="0"/>
            </w:pPr>
            <w:r>
              <w:rPr>
                <w:sz w:val="20"/>
                <w:szCs w:val="20"/>
              </w:rPr>
              <w:t xml:space="preserve">Generated from code; never hand-authored</w:t>
            </w:r>
          </w:p>
        </w:tc>
      </w:tr>
      <w:tr>
        <w:tc>
          <w:tcPr>
            <w:tcW w:type="dxa" w:w="2300"/>
            <w:tcMar>
              <w:top w:type="dxa" w:w="80"/>
              <w:left w:type="dxa" w:w="120"/>
              <w:bottom w:type="dxa" w:w="80"/>
              <w:right w:type="dxa" w:w="120"/>
            </w:tcMar>
            <w:vAlign w:val="center"/>
          </w:tcPr>
          <w:p>
            <w:pPr>
              <w:spacing w:after="0"/>
            </w:pPr>
            <w:r>
              <w:rPr>
                <w:sz w:val="20"/>
                <w:szCs w:val="20"/>
              </w:rPr>
              <w:t xml:space="preserve">Authored domain</w:t>
            </w:r>
          </w:p>
        </w:tc>
        <w:tc>
          <w:tcPr>
            <w:tcW w:type="dxa" w:w="7050"/>
            <w:tcMar>
              <w:top w:type="dxa" w:w="80"/>
              <w:left w:type="dxa" w:w="120"/>
              <w:bottom w:type="dxa" w:w="80"/>
              <w:right w:type="dxa" w:w="120"/>
            </w:tcMar>
            <w:vAlign w:val="center"/>
          </w:tcPr>
          <w:p>
            <w:pPr>
              <w:spacing w:after="0"/>
            </w:pPr>
            <w:r>
              <w:rPr>
                <w:sz w:val="20"/>
                <w:szCs w:val="20"/>
              </w:rPr>
              <w:t xml:space="preserve">Human-written; the AKL document is the source of truth</w:t>
            </w:r>
          </w:p>
        </w:tc>
      </w:tr>
      <w:tr>
        <w:tc>
          <w:tcPr>
            <w:tcW w:type="dxa" w:w="2300"/>
            <w:shd w:fill="FAFAFA" w:val="clear"/>
            <w:tcMar>
              <w:top w:type="dxa" w:w="80"/>
              <w:left w:type="dxa" w:w="120"/>
              <w:bottom w:type="dxa" w:w="80"/>
              <w:right w:type="dxa" w:w="120"/>
            </w:tcMar>
            <w:vAlign w:val="center"/>
          </w:tcPr>
          <w:p>
            <w:pPr>
              <w:spacing w:after="0"/>
            </w:pPr>
            <w:r>
              <w:rPr>
                <w:sz w:val="20"/>
                <w:szCs w:val="20"/>
              </w:rPr>
              <w:t xml:space="preserve">Hybrid domain</w:t>
            </w:r>
          </w:p>
        </w:tc>
        <w:tc>
          <w:tcPr>
            <w:tcW w:type="dxa" w:w="7050"/>
            <w:shd w:fill="FAFAFA" w:val="clear"/>
            <w:tcMar>
              <w:top w:type="dxa" w:w="80"/>
              <w:left w:type="dxa" w:w="120"/>
              <w:bottom w:type="dxa" w:w="80"/>
              <w:right w:type="dxa" w:w="120"/>
            </w:tcMar>
            <w:vAlign w:val="center"/>
          </w:tcPr>
          <w:p>
            <w:pPr>
              <w:spacing w:after="0"/>
            </w:pPr>
            <w:r>
              <w:rPr>
                <w:sz w:val="20"/>
                <w:szCs w:val="20"/>
              </w:rPr>
              <w:t xml:space="preserve">Inventory generated, behavior contract authored</w:t>
            </w:r>
          </w:p>
        </w:tc>
      </w:tr>
      <w:tr>
        <w:tc>
          <w:tcPr>
            <w:tcW w:type="dxa" w:w="2300"/>
            <w:tcMar>
              <w:top w:type="dxa" w:w="80"/>
              <w:left w:type="dxa" w:w="120"/>
              <w:bottom w:type="dxa" w:w="80"/>
              <w:right w:type="dxa" w:w="120"/>
            </w:tcMar>
            <w:vAlign w:val="center"/>
          </w:tcPr>
          <w:p>
            <w:pPr>
              <w:spacing w:after="0"/>
            </w:pPr>
            <w:r>
              <w:rPr>
                <w:sz w:val="20"/>
                <w:szCs w:val="20"/>
              </w:rPr>
              <w:t xml:space="preserve">tracks:</w:t>
            </w:r>
          </w:p>
        </w:tc>
        <w:tc>
          <w:tcPr>
            <w:tcW w:type="dxa" w:w="7050"/>
            <w:tcMar>
              <w:top w:type="dxa" w:w="80"/>
              <w:left w:type="dxa" w:w="120"/>
              <w:bottom w:type="dxa" w:w="80"/>
              <w:right w:type="dxa" w:w="120"/>
            </w:tcMar>
            <w:vAlign w:val="center"/>
          </w:tcPr>
          <w:p>
            <w:pPr>
              <w:spacing w:after="0"/>
            </w:pPr>
            <w:r>
              <w:rPr>
                <w:sz w:val="20"/>
                <w:szCs w:val="20"/>
              </w:rPr>
              <w:t xml:space="preserve">Frontmatter field listing the code paths a document describes; powers churn-based staleness</w:t>
            </w:r>
          </w:p>
        </w:tc>
      </w:tr>
      <w:tr>
        <w:tc>
          <w:tcPr>
            <w:tcW w:type="dxa" w:w="2300"/>
            <w:shd w:fill="FAFAFA" w:val="clear"/>
            <w:tcMar>
              <w:top w:type="dxa" w:w="80"/>
              <w:left w:type="dxa" w:w="120"/>
              <w:bottom w:type="dxa" w:w="80"/>
              <w:right w:type="dxa" w:w="120"/>
            </w:tcMar>
            <w:vAlign w:val="center"/>
          </w:tcPr>
          <w:p>
            <w:pPr>
              <w:spacing w:after="0"/>
            </w:pPr>
            <w:r>
              <w:rPr>
                <w:sz w:val="20"/>
                <w:szCs w:val="20"/>
              </w:rPr>
              <w:t xml:space="preserve">Churn-based staleness</w:t>
            </w:r>
          </w:p>
        </w:tc>
        <w:tc>
          <w:tcPr>
            <w:tcW w:type="dxa" w:w="7050"/>
            <w:shd w:fill="FAFAFA" w:val="clear"/>
            <w:tcMar>
              <w:top w:type="dxa" w:w="80"/>
              <w:left w:type="dxa" w:w="120"/>
              <w:bottom w:type="dxa" w:w="80"/>
              <w:right w:type="dxa" w:w="120"/>
            </w:tcMar>
            <w:vAlign w:val="center"/>
          </w:tcPr>
          <w:p>
            <w:pPr>
              <w:spacing w:after="0"/>
            </w:pPr>
            <w:r>
              <w:rPr>
                <w:sz w:val="20"/>
                <w:szCs w:val="20"/>
              </w:rPr>
              <w:t xml:space="preserve">Drift detected from code commits rather than calendar dates</w:t>
            </w:r>
          </w:p>
        </w:tc>
      </w:tr>
      <w:tr>
        <w:tc>
          <w:tcPr>
            <w:tcW w:type="dxa" w:w="2300"/>
            <w:tcMar>
              <w:top w:type="dxa" w:w="80"/>
              <w:left w:type="dxa" w:w="120"/>
              <w:bottom w:type="dxa" w:w="80"/>
              <w:right w:type="dxa" w:w="120"/>
            </w:tcMar>
            <w:vAlign w:val="center"/>
          </w:tcPr>
          <w:p>
            <w:pPr>
              <w:spacing w:after="0"/>
            </w:pPr>
            <w:r>
              <w:rPr>
                <w:sz w:val="20"/>
                <w:szCs w:val="20"/>
              </w:rPr>
              <w:t xml:space="preserve">CODEOWNERS</w:t>
            </w:r>
          </w:p>
        </w:tc>
        <w:tc>
          <w:tcPr>
            <w:tcW w:type="dxa" w:w="7050"/>
            <w:tcMar>
              <w:top w:type="dxa" w:w="80"/>
              <w:left w:type="dxa" w:w="120"/>
              <w:bottom w:type="dxa" w:w="80"/>
              <w:right w:type="dxa" w:w="120"/>
            </w:tcMar>
            <w:vAlign w:val="center"/>
          </w:tcPr>
          <w:p>
            <w:pPr>
              <w:spacing w:after="0"/>
            </w:pPr>
            <w:r>
              <w:rPr>
                <w:sz w:val="20"/>
                <w:szCs w:val="20"/>
              </w:rPr>
              <w:t xml:space="preserve">GitHub mechanism requiring a designated team's approval on PRs touching specific paths</w:t>
            </w:r>
          </w:p>
        </w:tc>
      </w:tr>
      <w:tr>
        <w:tc>
          <w:tcPr>
            <w:tcW w:type="dxa" w:w="2300"/>
            <w:shd w:fill="FAFAFA" w:val="clear"/>
            <w:tcMar>
              <w:top w:type="dxa" w:w="80"/>
              <w:left w:type="dxa" w:w="120"/>
              <w:bottom w:type="dxa" w:w="80"/>
              <w:right w:type="dxa" w:w="120"/>
            </w:tcMar>
            <w:vAlign w:val="center"/>
          </w:tcPr>
          <w:p>
            <w:pPr>
              <w:spacing w:after="0"/>
            </w:pPr>
            <w:r>
              <w:rPr>
                <w:sz w:val="20"/>
                <w:szCs w:val="20"/>
              </w:rPr>
              <w:t xml:space="preserve">Instructions (Copilot)</w:t>
            </w:r>
          </w:p>
        </w:tc>
        <w:tc>
          <w:tcPr>
            <w:tcW w:type="dxa" w:w="7050"/>
            <w:shd w:fill="FAFAFA" w:val="clear"/>
            <w:tcMar>
              <w:top w:type="dxa" w:w="80"/>
              <w:left w:type="dxa" w:w="120"/>
              <w:bottom w:type="dxa" w:w="80"/>
              <w:right w:type="dxa" w:w="120"/>
            </w:tcMar>
            <w:vAlign w:val="center"/>
          </w:tcPr>
          <w:p>
            <w:pPr>
              <w:spacing w:after="0"/>
            </w:pPr>
            <w:r>
              <w:rPr>
                <w:sz w:val="20"/>
                <w:szCs w:val="20"/>
              </w:rPr>
              <w:t xml:space="preserve">Always- or conditionally-injected context an agent reads passively</w:t>
            </w:r>
          </w:p>
        </w:tc>
      </w:tr>
      <w:tr>
        <w:tc>
          <w:tcPr>
            <w:tcW w:type="dxa" w:w="2300"/>
            <w:tcMar>
              <w:top w:type="dxa" w:w="80"/>
              <w:left w:type="dxa" w:w="120"/>
              <w:bottom w:type="dxa" w:w="80"/>
              <w:right w:type="dxa" w:w="120"/>
            </w:tcMar>
            <w:vAlign w:val="center"/>
          </w:tcPr>
          <w:p>
            <w:pPr>
              <w:spacing w:after="0"/>
            </w:pPr>
            <w:r>
              <w:rPr>
                <w:sz w:val="20"/>
                <w:szCs w:val="20"/>
              </w:rPr>
              <w:t xml:space="preserve">Skill (Copilot)</w:t>
            </w:r>
          </w:p>
        </w:tc>
        <w:tc>
          <w:tcPr>
            <w:tcW w:type="dxa" w:w="7050"/>
            <w:tcMar>
              <w:top w:type="dxa" w:w="80"/>
              <w:left w:type="dxa" w:w="120"/>
              <w:bottom w:type="dxa" w:w="80"/>
              <w:right w:type="dxa" w:w="120"/>
            </w:tcMar>
            <w:vAlign w:val="center"/>
          </w:tcPr>
          <w:p>
            <w:pPr>
              <w:spacing w:after="0"/>
            </w:pPr>
            <w:r>
              <w:rPr>
                <w:sz w:val="20"/>
                <w:szCs w:val="20"/>
              </w:rPr>
              <w:t xml:space="preserve">An explicitly invoked, multi-step procedure an agent executes</w:t>
            </w:r>
          </w:p>
        </w:tc>
      </w:tr>
      <w:tr>
        <w:tc>
          <w:tcPr>
            <w:tcW w:type="dxa" w:w="2300"/>
            <w:shd w:fill="FAFAFA" w:val="clear"/>
            <w:tcMar>
              <w:top w:type="dxa" w:w="80"/>
              <w:left w:type="dxa" w:w="120"/>
              <w:bottom w:type="dxa" w:w="80"/>
              <w:right w:type="dxa" w:w="120"/>
            </w:tcMar>
            <w:vAlign w:val="center"/>
          </w:tcPr>
          <w:p>
            <w:pPr>
              <w:spacing w:after="0"/>
            </w:pPr>
            <w:r>
              <w:rPr>
                <w:sz w:val="20"/>
                <w:szCs w:val="20"/>
              </w:rPr>
              <w:t xml:space="preserve">applyTo</w:t>
            </w:r>
          </w:p>
        </w:tc>
        <w:tc>
          <w:tcPr>
            <w:tcW w:type="dxa" w:w="7050"/>
            <w:shd w:fill="FAFAFA" w:val="clear"/>
            <w:tcMar>
              <w:top w:type="dxa" w:w="80"/>
              <w:left w:type="dxa" w:w="120"/>
              <w:bottom w:type="dxa" w:w="80"/>
              <w:right w:type="dxa" w:w="120"/>
            </w:tcMar>
            <w:vAlign w:val="center"/>
          </w:tcPr>
          <w:p>
            <w:pPr>
              <w:spacing w:after="0"/>
            </w:pPr>
            <w:r>
              <w:rPr>
                <w:sz w:val="20"/>
                <w:szCs w:val="20"/>
              </w:rPr>
              <w:t xml:space="preserve">Glob-matching field that scopes an instructions file to specific file paths</w:t>
            </w:r>
          </w:p>
        </w:tc>
      </w:tr>
      <w:tr>
        <w:tc>
          <w:tcPr>
            <w:tcW w:type="dxa" w:w="2300"/>
            <w:tcMar>
              <w:top w:type="dxa" w:w="80"/>
              <w:left w:type="dxa" w:w="120"/>
              <w:bottom w:type="dxa" w:w="80"/>
              <w:right w:type="dxa" w:w="120"/>
            </w:tcMar>
            <w:vAlign w:val="center"/>
          </w:tcPr>
          <w:p>
            <w:pPr>
              <w:spacing w:after="0"/>
            </w:pPr>
            <w:r>
              <w:rPr>
                <w:sz w:val="20"/>
                <w:szCs w:val="20"/>
              </w:rPr>
              <w:t xml:space="preserve">Precedence order</w:t>
            </w:r>
          </w:p>
        </w:tc>
        <w:tc>
          <w:tcPr>
            <w:tcW w:type="dxa" w:w="7050"/>
            <w:tcMar>
              <w:top w:type="dxa" w:w="80"/>
              <w:left w:type="dxa" w:w="120"/>
              <w:bottom w:type="dxa" w:w="80"/>
              <w:right w:type="dxa" w:w="120"/>
            </w:tcMar>
            <w:vAlign w:val="center"/>
          </w:tcPr>
          <w:p>
            <w:pPr>
              <w:spacing w:after="0"/>
            </w:pPr>
            <w:r>
              <w:rPr>
                <w:sz w:val="20"/>
                <w:szCs w:val="20"/>
              </w:rPr>
              <w:t xml:space="preserve">Ranking that decides which document wins when two conflict (Section 9.3)</w:t>
            </w:r>
          </w:p>
        </w:tc>
      </w:tr>
      <w:tr>
        <w:tc>
          <w:tcPr>
            <w:tcW w:type="dxa" w:w="2300"/>
            <w:shd w:fill="FAFAFA" w:val="clear"/>
            <w:tcMar>
              <w:top w:type="dxa" w:w="80"/>
              <w:left w:type="dxa" w:w="120"/>
              <w:bottom w:type="dxa" w:w="80"/>
              <w:right w:type="dxa" w:w="120"/>
            </w:tcMar>
            <w:vAlign w:val="center"/>
          </w:tcPr>
          <w:p>
            <w:pPr>
              <w:spacing w:after="0"/>
            </w:pPr>
            <w:r>
              <w:rPr>
                <w:sz w:val="20"/>
                <w:szCs w:val="20"/>
              </w:rPr>
              <w:t xml:space="preserve">Write-back</w:t>
            </w:r>
          </w:p>
        </w:tc>
        <w:tc>
          <w:tcPr>
            <w:tcW w:type="dxa" w:w="7050"/>
            <w:shd w:fill="FAFAFA" w:val="clear"/>
            <w:tcMar>
              <w:top w:type="dxa" w:w="80"/>
              <w:left w:type="dxa" w:w="120"/>
              <w:bottom w:type="dxa" w:w="80"/>
              <w:right w:type="dxa" w:w="120"/>
            </w:tcMar>
            <w:vAlign w:val="center"/>
          </w:tcPr>
          <w:p>
            <w:pPr>
              <w:spacing w:after="0"/>
            </w:pPr>
            <w:r>
              <w:rPr>
                <w:sz w:val="20"/>
                <w:szCs w:val="20"/>
              </w:rPr>
              <w:t xml:space="preserve">An agent proposing a draft document via pull request to close a coverage gap (Section 9.4)</w:t>
            </w:r>
          </w:p>
        </w:tc>
      </w:tr>
      <w:tr>
        <w:tc>
          <w:tcPr>
            <w:tcW w:type="dxa" w:w="2300"/>
            <w:tcMar>
              <w:top w:type="dxa" w:w="80"/>
              <w:left w:type="dxa" w:w="120"/>
              <w:bottom w:type="dxa" w:w="80"/>
              <w:right w:type="dxa" w:w="120"/>
            </w:tcMar>
            <w:vAlign w:val="center"/>
          </w:tcPr>
          <w:p>
            <w:pPr>
              <w:spacing w:after="0"/>
            </w:pPr>
            <w:r>
              <w:rPr>
                <w:sz w:val="20"/>
                <w:szCs w:val="20"/>
              </w:rPr>
              <w:t xml:space="preserve">Coverage</w:t>
            </w:r>
          </w:p>
        </w:tc>
        <w:tc>
          <w:tcPr>
            <w:tcW w:type="dxa" w:w="7050"/>
            <w:tcMar>
              <w:top w:type="dxa" w:w="80"/>
              <w:left w:type="dxa" w:w="120"/>
              <w:bottom w:type="dxa" w:w="80"/>
              <w:right w:type="dxa" w:w="120"/>
            </w:tcMar>
            <w:vAlign w:val="center"/>
          </w:tcPr>
          <w:p>
            <w:pPr>
              <w:spacing w:after="0"/>
            </w:pPr>
            <w:r>
              <w:rPr>
                <w:sz w:val="20"/>
                <w:szCs w:val="20"/>
              </w:rPr>
              <w:t xml:space="preserve">Percentage of code matched by some document's tracks glob</w:t>
            </w:r>
          </w:p>
        </w:tc>
      </w:tr>
      <w:tr>
        <w:tc>
          <w:tcPr>
            <w:tcW w:type="dxa" w:w="2300"/>
            <w:shd w:fill="FAFAFA" w:val="clear"/>
            <w:tcMar>
              <w:top w:type="dxa" w:w="80"/>
              <w:left w:type="dxa" w:w="120"/>
              <w:bottom w:type="dxa" w:w="80"/>
              <w:right w:type="dxa" w:w="120"/>
            </w:tcMar>
            <w:vAlign w:val="center"/>
          </w:tcPr>
          <w:p>
            <w:pPr>
              <w:spacing w:after="0"/>
            </w:pPr>
            <w:r>
              <w:rPr>
                <w:sz w:val="20"/>
                <w:szCs w:val="20"/>
              </w:rPr>
              <w:t xml:space="preserve">Retrieval precision</w:t>
            </w:r>
          </w:p>
        </w:tc>
        <w:tc>
          <w:tcPr>
            <w:tcW w:type="dxa" w:w="7050"/>
            <w:shd w:fill="FAFAFA" w:val="clear"/>
            <w:tcMar>
              <w:top w:type="dxa" w:w="80"/>
              <w:left w:type="dxa" w:w="120"/>
              <w:bottom w:type="dxa" w:w="80"/>
              <w:right w:type="dxa" w:w="120"/>
            </w:tcMar>
            <w:vAlign w:val="center"/>
          </w:tcPr>
          <w:p>
            <w:pPr>
              <w:spacing w:after="0"/>
            </w:pPr>
            <w:r>
              <w:rPr>
                <w:sz w:val="20"/>
                <w:szCs w:val="20"/>
              </w:rPr>
              <w:t xml:space="preserve">Irrelevant documents surfaced alongside the correct ones</w:t>
            </w:r>
          </w:p>
        </w:tc>
      </w:tr>
      <w:tr>
        <w:tc>
          <w:tcPr>
            <w:tcW w:type="dxa" w:w="2300"/>
            <w:tcMar>
              <w:top w:type="dxa" w:w="80"/>
              <w:left w:type="dxa" w:w="120"/>
              <w:bottom w:type="dxa" w:w="80"/>
              <w:right w:type="dxa" w:w="120"/>
            </w:tcMar>
            <w:vAlign w:val="center"/>
          </w:tcPr>
          <w:p>
            <w:pPr>
              <w:spacing w:after="0"/>
            </w:pPr>
            <w:r>
              <w:rPr>
                <w:sz w:val="20"/>
                <w:szCs w:val="20"/>
              </w:rPr>
              <w:t xml:space="preserve">Federated governance</w:t>
            </w:r>
          </w:p>
        </w:tc>
        <w:tc>
          <w:tcPr>
            <w:tcW w:type="dxa" w:w="7050"/>
            <w:tcMar>
              <w:top w:type="dxa" w:w="80"/>
              <w:left w:type="dxa" w:w="120"/>
              <w:bottom w:type="dxa" w:w="80"/>
              <w:right w:type="dxa" w:w="120"/>
            </w:tcMar>
            <w:vAlign w:val="center"/>
          </w:tcPr>
          <w:p>
            <w:pPr>
              <w:spacing w:after="0"/>
            </w:pPr>
            <w:r>
              <w:rPr>
                <w:sz w:val="20"/>
                <w:szCs w:val="20"/>
              </w:rPr>
              <w:t xml:space="preserve">Each domain owned and approved by the team closest to it, under shared standards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2026-08-16T15:02:11.474Z</dcterms:created>
  <dcterms:modified xsi:type="dcterms:W3CDTF">2026-08-16T15:02:11.474Z</dcterms:modified>
</cp:coreProperties>
</file>

<file path=docProps/custom.xml><?xml version="1.0" encoding="utf-8"?>
<Properties xmlns="http://schemas.openxmlformats.org/officeDocument/2006/custom-properties" xmlns:vt="http://schemas.openxmlformats.org/officeDocument/2006/docPropsVTypes"/>
</file>