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t xml:space="preserve">RheinAhr Dienstleistungen GmbH</w:t>
      </w:r>
      <w:r>
        <w:rPr>
          <w:b/>
          <w:bCs/>
          <w:color w:val="1E3A8A"/>
          <w:sz w:val="28"/>
          <w:szCs w:val="28"/>
        </w:rPr>
        <w:t xml:space="preserve">RheinAhr Dienstleistungen GmbH</w:t>
      </w:r>
    </w:p>
    <w:p>
      <w:pPr>
        <w:spacing w:after="120"/>
        <w:jc w:val="center"/>
      </w:pPr>
      <w:r>
        <w:rPr>
          <w:b/>
          <w:bCs/>
          <w:color w:val="111827"/>
          <w:sz w:val="24"/>
          <w:szCs w:val="24"/>
        </w:rPr>
        <w:t xml:space="preserve">تقرير التدقيق المالي والمحاسبي: فحص فواتير الورديات بدون استراحة (Break = 0)</w:t>
      </w:r>
    </w:p>
    <w:p>
      <w:pPr>
        <w:spacing w:after="300"/>
        <w:jc w:val="center"/>
      </w:pPr>
      <w:r>
        <w:rPr>
          <w:i/>
          <w:iCs/>
          <w:color w:val="4B5563"/>
          <w:sz w:val="18"/>
          <w:szCs w:val="18"/>
        </w:rPr>
        <w:t xml:space="preserve">تاريخ التقرير: 7.10.2026 | إعداد: الإدارة التقنية والمالية</w:t>
      </w:r>
    </w:p>
    <w:p>
      <w:pPr>
        <w:pStyle w:val="Heading3"/>
        <w:spacing w:after="100" w:before="200"/>
      </w:pPr>
      <w:r>
        <w:t xml:space="preserve">1. ملخص المشكلة التقنية (Technischer Hintergrund)</w:t>
      </w:r>
      <w:r>
        <w:rPr>
          <w:b/>
          <w:bCs/>
          <w:color w:val="1E3A8A"/>
          <w:sz w:val="22"/>
          <w:szCs w:val="22"/>
        </w:rPr>
        <w:t xml:space="preserve">1. ملخص المشكلة التقنية (Technischer Hintergrund)</w:t>
      </w:r>
    </w:p>
    <w:p>
      <w:pPr>
        <w:spacing w:after="100"/>
      </w:pPr>
      <w:r>
        <w:rPr>
          <w:sz w:val="20"/>
          <w:szCs w:val="20"/>
        </w:rPr>
        <w:t xml:space="preserve">عند توليد الفواتير برمجياً في قاعدة البيانات، كان يتم استخدام شرط منطقي احتياطي في الكود القديم: (breakMinutes || 30). </w:t>
      </w:r>
      <w:r>
        <w:rPr>
          <w:sz w:val="20"/>
          <w:szCs w:val="20"/>
        </w:rPr>
        <w:t xml:space="preserve">وبما أن القيمة 0 تُعتبر Falsy في JavaScript، فقد كان النظام يعامل الوردية التي مدة استراحتها 0 دقيقة كأنها فارغة، ويخصم منها تلقائياً 30 دقيقة استراحة عند حساب الإجمالي المخزن (Netto).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المفارقة: في جدول بنود الفاتورة المطبوعة (PDF)، كانت الورديات تُطبع بالساعات الفعلية الكاملة الصحيحة، مما تسبب في نقص في المجموع النهائي المسجل في الفاتورة مقارنة بأسطر الجدول المعروضة للزبون.</w:t>
      </w:r>
    </w:p>
    <w:p>
      <w:pPr>
        <w:pStyle w:val="Heading3"/>
        <w:spacing w:after="100" w:before="200"/>
      </w:pPr>
      <w:r>
        <w:t xml:space="preserve">2. الإحصائيات والأثر المالي الإجمالي (Finanzielle Auswirkung)</w:t>
      </w:r>
      <w:r>
        <w:rPr>
          <w:b/>
          <w:bCs/>
          <w:color w:val="1E3A8A"/>
          <w:sz w:val="22"/>
          <w:szCs w:val="22"/>
        </w:rPr>
        <w:t xml:space="preserve">2. الإحصائيات والأثر المالي الإجمالي (Finanzielle Auswirkung)</w:t>
      </w:r>
    </w:p>
    <w:p>
      <w:r>
        <w:rPr>
          <w:b/>
          <w:bCs/>
          <w:sz w:val="20"/>
          <w:szCs w:val="20"/>
        </w:rPr>
        <w:t xml:space="preserve">• إجمالي عدد الفواتير المتأثرة: </w:t>
      </w:r>
      <w:r>
        <w:rPr>
          <w:sz w:val="20"/>
          <w:szCs w:val="20"/>
        </w:rPr>
        <w:t xml:space="preserve">20 فاتورة.</w:t>
      </w:r>
    </w:p>
    <w:p>
      <w:r>
        <w:rPr>
          <w:b/>
          <w:bCs/>
          <w:sz w:val="20"/>
          <w:szCs w:val="20"/>
        </w:rPr>
        <w:t xml:space="preserve">• إجمالي فرق الصافي (Netto): </w:t>
      </w:r>
      <w:r>
        <w:rPr>
          <w:b/>
          <w:bCs/>
          <w:color w:val="B91C1C"/>
          <w:sz w:val="20"/>
          <w:szCs w:val="20"/>
        </w:rPr>
        <w:t xml:space="preserve">+1303.51 € لصالح الشركة.</w:t>
      </w:r>
    </w:p>
    <w:p>
      <w:r>
        <w:rPr>
          <w:b/>
          <w:bCs/>
          <w:sz w:val="20"/>
          <w:szCs w:val="20"/>
        </w:rPr>
        <w:t xml:space="preserve">• ضريبة القيمة المضافة (19% MwSt): </w:t>
      </w:r>
      <w:r>
        <w:rPr>
          <w:sz w:val="20"/>
          <w:szCs w:val="20"/>
        </w:rPr>
        <w:t xml:space="preserve">+247.67 €.</w:t>
      </w:r>
    </w:p>
    <w:p>
      <w:r>
        <w:rPr>
          <w:b/>
          <w:bCs/>
          <w:sz w:val="20"/>
          <w:szCs w:val="20"/>
        </w:rPr>
        <w:t xml:space="preserve">• الإجمالي الكلي مع الضريبة (Brutto): </w:t>
      </w:r>
      <w:r>
        <w:rPr>
          <w:b/>
          <w:bCs/>
          <w:color w:val="B91C1C"/>
          <w:sz w:val="20"/>
          <w:szCs w:val="20"/>
        </w:rPr>
        <w:t xml:space="preserve">+1551.18 €.</w:t>
      </w:r>
    </w:p>
    <w:p>
      <w:r>
        <w:rPr>
          <w:b/>
          <w:bCs/>
          <w:sz w:val="20"/>
          <w:szCs w:val="20"/>
        </w:rPr>
        <w:t xml:space="preserve">• الفواتير غير المدفوعة (Offen): </w:t>
      </w:r>
      <w:r>
        <w:rPr>
          <w:sz w:val="20"/>
          <w:szCs w:val="20"/>
        </w:rPr>
        <w:t xml:space="preserve">13 فاتورة بقيمة فرق صافي قدرها +892.18 € (يمكن تحديثها وإرسالها فوراً).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• الفواتير المدفوعة مسبقاً (Bezahlt): </w:t>
      </w:r>
      <w:r>
        <w:rPr>
          <w:sz w:val="20"/>
          <w:szCs w:val="20"/>
        </w:rPr>
        <w:t xml:space="preserve">7 فواتير بقيمة فرق صافي قدرها +411.33 € (تتطلب إصدار Nachberechnung / Korrektur).</w:t>
      </w:r>
    </w:p>
    <w:p>
      <w:pPr>
        <w:pStyle w:val="Heading3"/>
        <w:spacing w:after="140" w:before="200"/>
      </w:pPr>
      <w:r>
        <w:t xml:space="preserve">3. جدول الفواتير المتأثرة بالتفصيل (Detailübersicht der betroffenen Rechnungen)</w:t>
      </w:r>
      <w:r>
        <w:rPr>
          <w:b/>
          <w:bCs/>
          <w:color w:val="1E3A8A"/>
          <w:sz w:val="22"/>
          <w:szCs w:val="22"/>
        </w:rPr>
        <w:t xml:space="preserve">3. جدول الفواتير المتأثرة بالتفصيل (Detailübersicht der betroffenen Rechnungen)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166"/>
        <w:gridCol w:w="903"/>
        <w:gridCol w:w="1625"/>
        <w:gridCol w:w="993"/>
        <w:gridCol w:w="993"/>
        <w:gridCol w:w="812"/>
        <w:gridCol w:w="993"/>
      </w:tblGrid>
      <w:tr>
        <w:trPr>
          <w:tblHeader/>
        </w:trPr>
        <w:tc>
          <w:tcPr>
            <w:tcW w:type="pct" w:w="60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رقم الفاتورة</w:t>
            </w:r>
          </w:p>
        </w:tc>
        <w:tc>
          <w:tcPr>
            <w:tcW w:type="pct" w:w="120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العميل (Kunde)</w:t>
            </w:r>
          </w:p>
        </w:tc>
        <w:tc>
          <w:tcPr>
            <w:tcW w:type="pct" w:w="50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الورديات المتأثرة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الموظفون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الصافي القديم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الصافي الصحيح</w:t>
            </w:r>
          </w:p>
        </w:tc>
        <w:tc>
          <w:tcPr>
            <w:tcW w:type="pct" w:w="45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الفارق المستحق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الحالة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489-118-0826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Alten- und Pflegeheim St. Josefshaus Wied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Saidaui, Abdollah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11808.00 €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12043.23 €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+235.23 €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7"/>
                <w:szCs w:val="17"/>
              </w:rPr>
              <w:t xml:space="preserve">مدفوعة (Bezahlt)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578-118-0926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Alten- und Pflegeheim St. Josefshaus Wied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Saidaui, Abdollah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9372.60 €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9580.16 €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+207.56 €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508-114-0826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Seniorenhaus Marienheim Bad Münstereifel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Zekkari, Chahinaz, Almasalma, Amjad, Albib, Abdulaziz , Marin, Cristian-Narcis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12091.21 €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12246.20 €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+154.99 €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500-279-0826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Evangelisches Altenzentrum Oedt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Bani Amer, Qais, Abbadi, Yousef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13236.33 €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13344.01 €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+107.68 €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579-246-0926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Haus auf dem Heiderhof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Albib, Abdulaziz 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6244.21 €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6330.36 €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+86.15 €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492-107-0826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newcare home Swisttal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Elsawah, Yehia, Samara, Nail, Alshrafi, Nour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5979.34 €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6039.31 €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+59.97 €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507-114-0826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Seniorenhaus Marienheim Bad Münstereifel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Kumar, Vineet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631.35 €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686.25 €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+54.90 €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510-280-0826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Herrnhuter Brüdergemeine Neuwied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Almasalma, Amjad, Kamwa, Diane Reine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4920.10 €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4973.93 €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+53.84 €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520-277-0826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Luchtenberg-Richartz-Haus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Senol, Garip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2143.68 €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2183.28 €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+39.60 €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562-290-0926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Diakoniestation Hückeswagen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Oso, Majed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978.12 €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1017.72 €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+39.60 €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479-181-0826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Ernst-Stoltenhoff-Haus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Bijelic, Milica, Toughzaoui, Imane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4344.97 €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4381.88 €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+36.90 €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7"/>
                <w:szCs w:val="17"/>
              </w:rPr>
              <w:t xml:space="preserve">مدفوعة (Bezahlt)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504-273-0826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Therapiezentrum Bonn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Almelthaji, Baraa, Younis, Izzeddin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2527.65 €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2564.55 €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+36.90 €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7"/>
                <w:szCs w:val="17"/>
              </w:rPr>
              <w:t xml:space="preserve">مدفوعة (Bezahlt)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429-147-0826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Seniorenhaus St. Anna Köln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Jawish, Mouaz, Kotbi, Oussama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13294.00 €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13328.00 €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+34.00 €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7"/>
                <w:szCs w:val="17"/>
              </w:rPr>
              <w:t xml:space="preserve">مدفوعة (Bezahlt)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482-134-0826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Residenz Ambiente - Bonn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Grotmann, Monique 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5237.27 €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5270.14 €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+32.87 €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7"/>
                <w:szCs w:val="17"/>
              </w:rPr>
              <w:t xml:space="preserve">مدفوعة (Bezahlt)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503-229-0826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Haus am Drachenfels Rhöndorf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Kumar, Vineet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5274.25 €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5299.75 €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+25.50 €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563-253-0926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Wohn- und Pflegezentrum Moers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Oso, Majed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726.75 €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752.25 €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+25.50 €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528-105-0726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Vecura Domizil am Venusberg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Alfareetees, Mohammed 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147.60 €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166.05 €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+18.45 €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547-273-0926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Therapiezentrum Bonn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Almelthaji, Baraa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788.74 €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807.18 €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+18.44 €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7"/>
                <w:szCs w:val="17"/>
              </w:rPr>
              <w:t xml:space="preserve">غير مدفوعة (Offen)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506-176-0826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Johanniterhaus Bad Godesberg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Benaly, Asmae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2629.13 €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2647.55 €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+18.43 €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7"/>
                <w:szCs w:val="17"/>
              </w:rPr>
              <w:t xml:space="preserve">مدفوعة (Bezahlt)</w:t>
            </w:r>
          </w:p>
        </w:tc>
      </w:tr>
      <w:tr>
        <w:tc>
          <w:tcPr>
            <w:tcW w:type="pct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540-209-0826</w:t>
            </w:r>
          </w:p>
        </w:tc>
        <w:tc>
          <w:tcPr>
            <w:tcW w:type="pct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Seniorenzentrum Haus Veybach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وردية</w:t>
            </w:r>
          </w:p>
        </w:tc>
        <w:tc>
          <w:tcPr>
            <w:tcW w:type="pct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Elsawah, Nabil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695.30 €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712.30 €</w:t>
            </w:r>
          </w:p>
        </w:tc>
        <w:tc>
          <w:tcPr>
            <w:tcW w:type="pct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+17.00 €</w:t>
            </w:r>
          </w:p>
        </w:tc>
        <w:tc>
          <w:tcPr>
            <w:tcW w:type="pct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7"/>
                <w:szCs w:val="17"/>
              </w:rPr>
              <w:t xml:space="preserve">مدفوعة (Bezahlt)</w:t>
            </w:r>
          </w:p>
        </w:tc>
      </w:tr>
      <w:tr>
        <w:tc>
          <w:tcPr>
            <w:tcW w:type="pct" w:w="4300"/>
            <w:gridSpan w:val="6"/>
            <w:shd w:fill="E5E7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إجمالي الفروقات المستحقة (Netto Gesamtdifferenz):</w:t>
            </w:r>
          </w:p>
        </w:tc>
        <w:tc>
          <w:tcPr>
            <w:tcW w:type="pct" w:w="1000"/>
            <w:gridSpan w:val="2"/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+1303.51 € Netto</w:t>
            </w:r>
          </w:p>
        </w:tc>
      </w:tr>
    </w:tbl>
    <w:p>
      <w:pPr>
        <w:pStyle w:val="Heading3"/>
        <w:spacing w:after="100" w:before="300"/>
      </w:pPr>
      <w:r>
        <w:t xml:space="preserve">4. التوصيات والإجراءات المقترحة للإدارة (Handlungsempfehlungen)</w:t>
      </w:r>
      <w:r>
        <w:rPr>
          <w:b/>
          <w:bCs/>
          <w:color w:val="1E3A8A"/>
          <w:sz w:val="22"/>
          <w:szCs w:val="22"/>
        </w:rPr>
        <w:t xml:space="preserve">4. التوصيات والإجراءات المقترحة للإدارة (Handlungsempfehlungen)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1. المعالجة التقنية الدائمة: </w:t>
      </w:r>
      <w:r>
        <w:rPr>
          <w:sz w:val="20"/>
          <w:szCs w:val="20"/>
        </w:rPr>
        <w:t xml:space="preserve">تم تصحيح الكود بالكامل واعتماد ?? بدلاً من ||، كما تم ربط مجموع الفاتورة برمجياً بمجموع بنود الجدول بالسنت مباشرة لمنع أي خطأ مستقبلي.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2. الفواتير غير المدفوعة (13 فاتورة): </w:t>
      </w:r>
      <w:r>
        <w:rPr>
          <w:sz w:val="20"/>
          <w:szCs w:val="20"/>
        </w:rPr>
        <w:t xml:space="preserve">تحديث قيمها في النظام فوراً وطباعتها وإرسالها للعملاء بالأرقام المصححة لاسترداد فارق الـ Netto البالغ </w:t>
      </w:r>
      <w:r>
        <w:rPr>
          <w:b/>
          <w:bCs/>
          <w:sz w:val="20"/>
          <w:szCs w:val="20"/>
        </w:rPr>
        <w:t xml:space="preserve">892.18 €</w:t>
      </w:r>
      <w:r>
        <w:rPr>
          <w:sz w:val="20"/>
          <w:szCs w:val="20"/>
        </w:rPr>
        <w:t xml:space="preserve">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3. الفواتير المدفوعة (7 فواتير): </w:t>
      </w:r>
      <w:r>
        <w:rPr>
          <w:sz w:val="20"/>
          <w:szCs w:val="20"/>
        </w:rPr>
        <w:t xml:space="preserve">القرار لدى الإدارة المالية إما بإصدار فواتير تكميلية (Nachberechnung) للعملاء بفارق </w:t>
      </w:r>
      <w:r>
        <w:rPr>
          <w:b/>
          <w:bCs/>
          <w:sz w:val="20"/>
          <w:szCs w:val="20"/>
        </w:rPr>
        <w:t xml:space="preserve">411.33 € Netto</w:t>
      </w:r>
      <w:r>
        <w:rPr>
          <w:sz w:val="20"/>
          <w:szCs w:val="20"/>
        </w:rPr>
        <w:t xml:space="preserve">، أو تسويتها محاسبياً حسب السياسة المتبعة مع كل عميل.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2026-10-07T10:48:46.926Z</dcterms:created>
  <dcterms:modified xsi:type="dcterms:W3CDTF">2026-10-07T10:48:46.926Z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