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管理决策摘要</w:t>
      </w:r>
    </w:p>
    <w:p>
      <w:pPr>
        <w:pStyle w:val="Heading1"/>
        <w:spacing w:line="312" w:lineRule="auto" w:after="396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星巴克中国门店布局诊断与调整建议报告</w:t>
      </w:r>
    </w:p>
    <w:p>
      <w:pPr>
        <w:spacing w:after="700"/>
        <w:jc w:val="center"/>
      </w:pPr>
      <w:r>
        <w:rPr>
          <w:rFonts w:ascii="微软雅黑" w:hAnsi="微软雅黑" w:eastAsia="微软雅黑" w:cs="微软雅黑" w:hint="eastAsia"/>
          <w:b w:val="0"/>
          <w:color w:val="616161"/>
          <w:sz w:val="20"/>
          <w:lang w:eastAsia="zh-CN"/>
        </w:rPr>
        <w:t>基于全国</w:t>
      </w:r>
      <w:r>
        <w:rPr>
          <w:rFonts w:ascii="微软雅黑" w:hAnsi="微软雅黑"/>
          <w:b w:val="0"/>
          <w:color w:val="616161"/>
          <w:sz w:val="20"/>
        </w:rPr>
        <w:t xml:space="preserve"> 6,947 </w:t>
      </w:r>
      <w:r>
        <w:rPr>
          <w:rFonts w:ascii="微软雅黑" w:hAnsi="微软雅黑" w:eastAsia="微软雅黑" w:cs="微软雅黑" w:hint="eastAsia"/>
          <w:b w:val="0"/>
          <w:color w:val="616161"/>
          <w:sz w:val="20"/>
          <w:lang w:eastAsia="zh-CN"/>
        </w:rPr>
        <w:t>家门店的结构性诊断与行动建议</w:t>
      </w:r>
    </w:p>
    <w:p>
      <w:pPr>
        <w:spacing w:after="96"/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数据分析团队</w:t>
      </w:r>
    </w:p>
    <w:p>
      <w:pPr>
        <w:spacing w:after="96"/>
        <w:jc w:val="center"/>
      </w:pPr>
      <w:r>
        <w:rPr>
          <w:rFonts w:ascii="微软雅黑" w:hAnsi="微软雅黑"/>
          <w:color w:val="212121"/>
          <w:sz w:val="18"/>
        </w:rPr>
        <w:t xml:space="preserve">2026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年</w:t>
      </w:r>
      <w:r>
        <w:rPr>
          <w:rFonts w:ascii="微软雅黑" w:hAnsi="微软雅黑"/>
          <w:color w:val="212121"/>
          <w:sz w:val="18"/>
        </w:rPr>
        <w:t xml:space="preserve"> 9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月</w:t>
      </w:r>
    </w:p>
    <w:p>
      <w:pPr>
        <w:spacing w:after="96"/>
        <w:jc w:val="center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版本</w:t>
      </w:r>
      <w:r>
        <w:rPr>
          <w:rFonts w:ascii="微软雅黑" w:hAnsi="微软雅黑"/>
          <w:color w:val="212121"/>
          <w:sz w:val="18"/>
        </w:rPr>
        <w:t xml:space="preserve">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2"/>
        <w:jc w:val="left"/>
      </w:pPr>
      <w:r/>
      <w:r>
        <w:rPr>
          <w:rFonts w:ascii="微软雅黑" w:hAnsi="微软雅黑" w:eastAsia="微软雅黑" w:hint="eastAsia"/>
          <w:b/>
          <w:color w:val="1565C0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一、核心结论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二、数据基础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三、四项关键发现与调整动作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四、行动清单与优先级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五、数据质量说明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附录：关键数据表</w:t>
        </w:r>
      </w:hyperlink>
    </w:p>
    <w:p>
      <w:pPr>
        <w:spacing w:after="6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执行摘要</w:t>
      </w:r>
    </w:p>
    <w:p>
      <w:pPr>
        <w:spacing w:after="96"/>
        <w:jc w:val="left"/>
      </w:pPr>
      <w:r>
        <w:rPr>
          <w:rFonts w:ascii="微软雅黑" w:hAnsi="微软雅黑"/>
          <w:i/>
          <w:color w:val="616161"/>
          <w:sz w:val="16"/>
        </w:rPr>
        <w:t>Executive Summary</w:t>
      </w:r>
    </w:p>
    <w:p>
      <w:pPr>
        <w:spacing w:after="180"/>
        <w:jc w:val="both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星巴克在华门店网络已从规模扩张期进入结构优化期。现有门店分布呈现</w:t>
      </w:r>
      <w:r>
        <w:rPr>
          <w:rFonts w:ascii="微软雅黑" w:hAnsi="微软雅黑" w:eastAsia="微软雅黑" w:cs="微软雅黑" w:hint="eastAsia"/>
          <w:b/>
          <w:color w:val="C62828"/>
          <w:sz w:val="18"/>
          <w:lang w:eastAsia="zh-CN"/>
        </w:rPr>
        <w:t>单城密度见顶、场景结构单极、营业时段同质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三个特征，三者共同指向同一判断：在成熟城市继续加密的边际收益已经很低，增量必须来自省域渗透与场景补位。</w:t>
      </w:r>
    </w:p>
    <w:p>
      <w:pPr>
        <w:spacing w:after="180"/>
        <w:jc w:val="both"/>
      </w:pPr>
      <w:r>
        <w:rPr>
          <w:rFonts w:ascii="微软雅黑" w:hAnsi="微软雅黑"/>
          <w:color w:val="212121"/>
          <w:sz w:val="18"/>
        </w:rPr>
        <w:t xml:space="preserve">  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个直辖市以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座城市承载</w:t>
      </w:r>
      <w:r>
        <w:rPr>
          <w:rFonts w:ascii="微软雅黑" w:hAnsi="微软雅黑"/>
          <w:color w:val="212121"/>
          <w:sz w:val="18"/>
        </w:rPr>
        <w:t xml:space="preserve"> 1,977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家门店，占全国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/>
          <w:b/>
          <w:color w:val="C62828"/>
          <w:sz w:val="18"/>
        </w:rPr>
        <w:t>28.5%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；而</w:t>
      </w:r>
      <w:r>
        <w:rPr>
          <w:rFonts w:ascii="微软雅黑" w:hAnsi="微软雅黑"/>
          <w:color w:val="212121"/>
          <w:sz w:val="18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个省级行政区覆盖</w:t>
      </w:r>
      <w:r>
        <w:rPr>
          <w:rFonts w:ascii="微软雅黑" w:hAnsi="微软雅黑"/>
          <w:color w:val="212121"/>
          <w:sz w:val="18"/>
        </w:rPr>
        <w:t xml:space="preserve"> 11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座城市以上却门店不足</w:t>
      </w:r>
      <w:r>
        <w:rPr>
          <w:rFonts w:ascii="微软雅黑" w:hAnsi="微软雅黑"/>
          <w:color w:val="212121"/>
          <w:sz w:val="18"/>
        </w:rPr>
        <w:t xml:space="preserve"> 300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家。商场与购物中心类门店占比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/>
          <w:b/>
          <w:color w:val="C62828"/>
          <w:sz w:val="18"/>
        </w:rPr>
        <w:t>33.7%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，是第二大场景的两倍。</w:t>
      </w:r>
      <w:r>
        <w:rPr>
          <w:rFonts w:ascii="微软雅黑" w:hAnsi="微软雅黑"/>
          <w:color w:val="212121"/>
          <w:sz w:val="18"/>
        </w:rPr>
        <w:t xml:space="preserve">52.5%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的门店集中在</w:t>
      </w:r>
      <w:r>
        <w:rPr>
          <w:rFonts w:ascii="微软雅黑" w:hAnsi="微软雅黑"/>
          <w:color w:val="212121"/>
          <w:sz w:val="18"/>
        </w:rPr>
        <w:t xml:space="preserve"> 06:31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至</w:t>
      </w:r>
      <w:r>
        <w:rPr>
          <w:rFonts w:ascii="微软雅黑" w:hAnsi="微软雅黑"/>
          <w:color w:val="212121"/>
          <w:sz w:val="18"/>
        </w:rPr>
        <w:t xml:space="preserve"> 07:00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这半小时内开门，</w:t>
      </w:r>
      <w:r>
        <w:rPr>
          <w:rFonts w:ascii="微软雅黑" w:hAnsi="微软雅黑"/>
          <w:color w:val="212121"/>
          <w:sz w:val="18"/>
        </w:rPr>
        <w:t xml:space="preserve">06:30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前开门者仅</w:t>
      </w:r>
      <w:r>
        <w:rPr>
          <w:rFonts w:ascii="微软雅黑" w:hAnsi="微软雅黑"/>
          <w:color w:val="212121"/>
          <w:sz w:val="18"/>
        </w:rPr>
        <w:t xml:space="preserve"> 6.5%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616161"/>
                <w:sz w:val="16"/>
              </w:rPr>
              <w:t>门店总数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616161"/>
                <w:sz w:val="16"/>
              </w:rPr>
              <w:t>覆盖省级行政区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616161"/>
                <w:sz w:val="16"/>
              </w:rPr>
              <w:t>商场系门店占比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616161"/>
                <w:sz w:val="16"/>
              </w:rPr>
              <w:t>平均营业时长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6,947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29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33.7%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68" w:type="dxa"/>
              <w:bottom w:w="168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13.65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小时</w:t>
            </w:r>
          </w:p>
        </w:tc>
      </w:tr>
    </w:tbl>
    <w:p>
      <w:bookmarkStart w:id="6" w:name="_Toc_section_1"/>
      <w:bookmarkStart w:id="0" w:name="section-1"/>
      <w:pPr>
        <w:pStyle w:val="Heading2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一、核心结论</w:t>
      </w:r>
      <w:bookmarkEnd w:id="6"/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星巴克在华门店网络已从规模扩张期进入结构优化期。现有门店分布呈现单城密度见顶、场景结构单极、营业时段同质三个特征，三者共同指向同一判断：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在成熟城市继续加密的边际收益已经很低，增量必须来自省域渗透与场景补位。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三个结构性错配如下：</w:t>
      </w:r>
    </w:p>
    <w:p>
      <w:pPr>
        <w:pStyle w:val="ListNumber"/>
        <w:numPr>
          <w:ilvl w:val="0"/>
          <w:numId w:val="10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城市层面。</w:t>
      </w:r>
      <w:r>
        <w:rPr>
          <w:sz w:val="18"/>
        </w:rPr>
        <w:t xml:space="preserve">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个直辖市以</w:t>
      </w:r>
      <w:r>
        <w:rPr>
          <w:sz w:val="18"/>
        </w:rPr>
        <w:t xml:space="preserve"> 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座城市承载</w:t>
      </w:r>
      <w:r>
        <w:rPr>
          <w:sz w:val="18"/>
        </w:rPr>
        <w:t xml:space="preserve"> 1,977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家门店，占全国</w:t>
      </w:r>
      <w:r>
        <w:rPr>
          <w:sz w:val="18"/>
        </w:rPr>
        <w:t xml:space="preserve"> 28.5%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，其中上海单城</w:t>
      </w:r>
      <w:r>
        <w:rPr>
          <w:sz w:val="18"/>
        </w:rPr>
        <w:t xml:space="preserve"> 1,112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家。与此同时，</w:t>
      </w:r>
      <w:r>
        <w:rPr>
          <w:sz w:val="18"/>
        </w:rPr>
        <w:t xml:space="preserve">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个省级行政区覆盖</w:t>
      </w:r>
      <w:r>
        <w:rPr>
          <w:sz w:val="18"/>
        </w:rPr>
        <w:t xml:space="preserve"> 11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座城市以上却门店不足</w:t>
      </w:r>
      <w:r>
        <w:rPr>
          <w:sz w:val="18"/>
        </w:rPr>
        <w:t xml:space="preserve"> 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家，合计</w:t>
      </w:r>
      <w:r>
        <w:rPr>
          <w:sz w:val="18"/>
        </w:rPr>
        <w:t xml:space="preserve"> 155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座城市仅有</w:t>
      </w:r>
      <w:r>
        <w:rPr>
          <w:sz w:val="18"/>
        </w:rPr>
        <w:t xml:space="preserve"> 1,488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家门店。加密空间已经用尽，渗透空间尚未打开。</w:t>
      </w:r>
    </w:p>
    <w:p>
      <w:pPr>
        <w:pStyle w:val="ListNumber"/>
        <w:numPr>
          <w:ilvl w:val="0"/>
          <w:numId w:val="10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场景层面。</w:t>
      </w:r>
      <w:r>
        <w:rPr>
          <w:rFonts w:ascii="微软雅黑" w:eastAsia="微软雅黑" w:hAnsi="微软雅黑" w:cs="微软雅黑" w:hint="eastAsia"/>
          <w:sz w:val="18"/>
          <w:lang w:eastAsia="zh-CN"/>
        </w:rPr>
        <w:t>商场与购物中心类门店</w:t>
      </w:r>
      <w:r>
        <w:rPr>
          <w:sz w:val="18"/>
        </w:rPr>
        <w:t xml:space="preserve"> 2,341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家，占比</w:t>
      </w:r>
      <w:r>
        <w:rPr>
          <w:sz w:val="18"/>
        </w:rPr>
        <w:t xml:space="preserve"> 33.7%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，是第二大场景的两倍；而机场、高铁、医院、高校等非商场类高频客流点位合计仅</w:t>
      </w:r>
      <w:r>
        <w:rPr>
          <w:sz w:val="18"/>
        </w:rPr>
        <w:t xml:space="preserve"> 5.4%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（机场</w:t>
      </w:r>
      <w:r>
        <w:rPr>
          <w:sz w:val="18"/>
        </w:rPr>
        <w:t xml:space="preserve"> 1.84%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、高铁</w:t>
      </w:r>
      <w:r>
        <w:rPr>
          <w:sz w:val="18"/>
        </w:rPr>
        <w:t xml:space="preserve"> 1.70%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、医院高校</w:t>
      </w:r>
      <w:r>
        <w:rPr>
          <w:sz w:val="18"/>
        </w:rPr>
        <w:t xml:space="preserve"> 1.12%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）。客流结构过度依赖商场自然客流。</w:t>
      </w:r>
    </w:p>
    <w:p>
      <w:pPr>
        <w:pStyle w:val="ListNumber"/>
        <w:numPr>
          <w:ilvl w:val="0"/>
          <w:numId w:val="10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时段层面。</w:t>
      </w:r>
      <w:r>
        <w:rPr>
          <w:sz w:val="18"/>
        </w:rPr>
        <w:t xml:space="preserve">52.5%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的门店集中在</w:t>
      </w:r>
      <w:r>
        <w:rPr>
          <w:sz w:val="18"/>
        </w:rPr>
        <w:t xml:space="preserve"> 06:31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07:00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这半小时内开门，</w:t>
      </w:r>
      <w:r>
        <w:rPr>
          <w:sz w:val="18"/>
        </w:rPr>
        <w:t xml:space="preserve">06:30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前开门的门店仅</w:t>
      </w:r>
      <w:r>
        <w:rPr>
          <w:sz w:val="18"/>
        </w:rPr>
        <w:t xml:space="preserve"> 450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家，占</w:t>
      </w:r>
      <w:r>
        <w:rPr>
          <w:sz w:val="18"/>
        </w:rPr>
        <w:t xml:space="preserve"> 6.5%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；凌晨</w:t>
      </w:r>
      <w:r>
        <w:rPr>
          <w:sz w:val="18"/>
        </w:rPr>
        <w:t xml:space="preserve"> 02:00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全国仅</w:t>
      </w:r>
      <w:r>
        <w:rPr>
          <w:sz w:val="18"/>
        </w:rPr>
        <w:t xml:space="preserve"> 61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家门店在营。早高峰前的供给准备不足，深夜时段近乎空转。</w:t>
      </w:r>
      <w:r/>
    </w:p>
    <w:p>
      <w:bookmarkStart w:id="7" w:name="_Toc_section_2"/>
      <w:bookmarkStart w:id="1" w:name="section-2"/>
      <w:pPr>
        <w:pStyle w:val="Heading2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二、数据基础</w:t>
      </w:r>
      <w:bookmarkEnd w:id="7"/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本次分析的样本口径与关键集中度指标如下表所示，用于界定后续所有结论的适用范围。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门店总数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6,947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有效统计样本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6,939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有效省级行政区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29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有效城市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263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可定位门店（坐标有效）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6,921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Top5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省份集中度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64.8%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Top10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省份集中度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80.6%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Top5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城市集中度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39.0%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单店平均营业时长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13.65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小时（中位数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14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小时）</w:t>
            </w:r>
          </w:p>
        </w:tc>
      </w:tr>
    </w:tbl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集中度数据说明网络呈典型的头部集聚形态：前</w:t>
      </w:r>
      <w:r>
        <w:rPr>
          <w:rFonts w:ascii="微软雅黑" w:hAnsi="微软雅黑"/>
          <w:color w:val="212121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个省级行政区承载近三分之二门店，前</w:t>
      </w:r>
      <w:r>
        <w:rPr>
          <w:rFonts w:ascii="微软雅黑" w:hAnsi="微软雅黑"/>
          <w:color w:val="212121"/>
          <w:sz w:val="18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个省级行政区承载超过八成。</w:t>
      </w:r>
    </w:p>
    <w:p>
      <w:pPr>
        <w:jc w:val="left"/>
      </w:pPr>
      <w:r>
        <w:rPr>
          <w:rFonts w:ascii="微软雅黑" w:hAnsi="微软雅黑"/>
          <w:color w:val="616161"/>
          <w:sz w:val="16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616161"/>
          <w:sz w:val="16"/>
          <w:lang w:eastAsia="zh-CN"/>
        </w:rPr>
        <w:t>口径说明：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本报告涉及三个分母，特此逐项标明。门店结构类占比（如直辖市、省级行政区、城市占比）以有效统计样本</w:t>
      </w:r>
      <w:r>
        <w:rPr>
          <w:rFonts w:ascii="微软雅黑" w:hAnsi="微软雅黑"/>
          <w:color w:val="616161"/>
          <w:sz w:val="16"/>
        </w:rPr>
        <w:t xml:space="preserve"> 6,939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家为分母；场景类占比以门店总数</w:t>
      </w:r>
      <w:r>
        <w:rPr>
          <w:rFonts w:ascii="微软雅黑" w:hAnsi="微软雅黑"/>
          <w:color w:val="616161"/>
          <w:sz w:val="16"/>
        </w:rPr>
        <w:t xml:space="preserve"> 6,947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家为分母；营业时长类占比以可计算时长的</w:t>
      </w:r>
      <w:r>
        <w:rPr>
          <w:rFonts w:ascii="微软雅黑" w:hAnsi="微软雅黑"/>
          <w:color w:val="616161"/>
          <w:sz w:val="16"/>
        </w:rPr>
        <w:t xml:space="preserve"> 6,871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家为分母。</w:t>
      </w:r>
      <w:r/>
    </w:p>
    <w:p>
      <w:bookmarkStart w:id="8" w:name="_Toc_section_3"/>
      <w:bookmarkStart w:id="2" w:name="section-3"/>
      <w:pPr>
        <w:pStyle w:val="Heading2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三、四项关键发现与调整动作</w:t>
      </w:r>
      <w:bookmarkEnd w:id="8"/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以下四条发现按城市布局、场景结构、营业时段、营业时长的顺序展开。每条均先给出数据支撑，再给出对应的调整动作，二者一一对应，可直接进入决策讨论。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（一）单城密度见顶，省域渗透不足</w:t>
      </w:r>
    </w:p>
    <w:p>
      <w:pPr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数据支撑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直辖市（上海、北京、天津、重庆）共</w:t>
      </w:r>
      <w:r>
        <w:rPr>
          <w:sz w:val="18"/>
        </w:rPr>
        <w:t xml:space="preserve"> 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座城市，承载</w:t>
      </w:r>
      <w:r>
        <w:rPr>
          <w:sz w:val="18"/>
        </w:rPr>
        <w:t xml:space="preserve"> 1,977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家门店，占全国</w:t>
      </w:r>
      <w:r>
        <w:rPr>
          <w:sz w:val="18"/>
        </w:rPr>
        <w:t xml:space="preserve"> 28.5%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；上海单城</w:t>
      </w:r>
      <w:r>
        <w:rPr>
          <w:sz w:val="18"/>
        </w:rPr>
        <w:t xml:space="preserve"> 1,112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家，为全国之最。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省级行政区门店数排序：上海</w:t>
      </w:r>
      <w:r>
        <w:rPr>
          <w:sz w:val="18"/>
        </w:rPr>
        <w:t xml:space="preserve"> 1,112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、广东</w:t>
      </w:r>
      <w:r>
        <w:rPr>
          <w:sz w:val="18"/>
        </w:rPr>
        <w:t xml:space="preserve"> 986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、浙江</w:t>
      </w:r>
      <w:r>
        <w:rPr>
          <w:sz w:val="18"/>
        </w:rPr>
        <w:t xml:space="preserve"> 976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、江苏</w:t>
      </w:r>
      <w:r>
        <w:rPr>
          <w:sz w:val="18"/>
        </w:rPr>
        <w:t xml:space="preserve"> 867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、北京</w:t>
      </w:r>
      <w:r>
        <w:rPr>
          <w:sz w:val="18"/>
        </w:rPr>
        <w:t xml:space="preserve"> 559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另一端，覆盖广度与门店密度严重不匹配。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省级行政区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覆盖城市数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单城门店数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广东省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986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47.0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四川省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289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15.2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山东省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安徽省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江西省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内蒙古自治区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3.2</w:t>
            </w:r>
          </w:p>
        </w:tc>
      </w:tr>
    </w:tbl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广东省单城平均</w:t>
      </w:r>
      <w:r>
        <w:rPr>
          <w:rFonts w:ascii="微软雅黑" w:hAnsi="微软雅黑"/>
          <w:color w:val="212121"/>
          <w:sz w:val="18"/>
        </w:rPr>
        <w:t xml:space="preserve"> 47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家门店，而内蒙古仅</w:t>
      </w:r>
      <w:r>
        <w:rPr>
          <w:rFonts w:ascii="微软雅黑" w:hAnsi="微软雅黑"/>
          <w:color w:val="212121"/>
          <w:sz w:val="18"/>
        </w:rPr>
        <w:t xml:space="preserve"> 3.2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家、江西</w:t>
      </w:r>
      <w:r>
        <w:rPr>
          <w:rFonts w:ascii="微软雅黑" w:hAnsi="微软雅黑"/>
          <w:color w:val="212121"/>
          <w:sz w:val="18"/>
        </w:rPr>
        <w:t xml:space="preserve"> 5.4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家、安徽</w:t>
      </w:r>
      <w:r>
        <w:rPr>
          <w:rFonts w:ascii="微软雅黑" w:hAnsi="微软雅黑"/>
          <w:color w:val="212121"/>
          <w:sz w:val="18"/>
        </w:rPr>
        <w:t xml:space="preserve"> 5.9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家。同为</w:t>
      </w:r>
      <w:r>
        <w:rPr>
          <w:rFonts w:ascii="微软雅黑" w:hAnsi="微软雅黑"/>
          <w:color w:val="212121"/>
          <w:sz w:val="18"/>
        </w:rPr>
        <w:t xml:space="preserve"> 11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座城市以上的覆盖广度，密度相差超过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18"/>
          <w:lang w:eastAsia="zh-CN"/>
        </w:rPr>
        <w:t>14 倍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调整动作</w:t>
      </w:r>
    </w:p>
    <w:p>
      <w:pPr>
        <w:pStyle w:val="ListNumber"/>
        <w:numPr>
          <w:ilvl w:val="0"/>
          <w:numId w:val="11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新开店预算的</w:t>
      </w:r>
      <w:r>
        <w:rPr>
          <w:sz w:val="18"/>
        </w:rPr>
        <w:t xml:space="preserve"> 60% </w:t>
      </w:r>
      <w:r>
        <w:rPr>
          <w:rFonts w:ascii="微软雅黑" w:eastAsia="微软雅黑" w:hAnsi="微软雅黑" w:cs="微软雅黑" w:hint="eastAsia"/>
          <w:sz w:val="18"/>
          <w:lang w:eastAsia="zh-CN"/>
        </w:rPr>
        <w:t>投向覆盖城市不少于</w:t>
      </w:r>
      <w:r>
        <w:rPr>
          <w:sz w:val="18"/>
        </w:rPr>
        <w:t xml:space="preserve"> 11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座、且门店不足</w:t>
      </w:r>
      <w:r>
        <w:rPr>
          <w:sz w:val="18"/>
        </w:rPr>
        <w:t xml:space="preserve"> 300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家的</w:t>
      </w:r>
      <w:r>
        <w:rPr>
          <w:sz w:val="18"/>
        </w:rPr>
        <w:t xml:space="preserve"> 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个省级行政区（四川、湖北、山东、辽宁、湖南、安徽、河北、河南、广西、云南、江西、内蒙古），这</w:t>
      </w:r>
      <w:r>
        <w:rPr>
          <w:sz w:val="18"/>
        </w:rPr>
        <w:t xml:space="preserve"> 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个区域覆盖</w:t>
      </w:r>
      <w:r>
        <w:rPr>
          <w:sz w:val="18"/>
        </w:rPr>
        <w:t xml:space="preserve"> 155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座城市，当前仅有</w:t>
      </w:r>
      <w:r>
        <w:rPr>
          <w:sz w:val="18"/>
        </w:rPr>
        <w:t xml:space="preserve"> 1,488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家门店，明细见附录表</w:t>
      </w:r>
      <w:r>
        <w:rPr>
          <w:sz w:val="18"/>
        </w:rPr>
        <w:t xml:space="preserve"> 11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上海、北京等密度已高的城市，考核指标从年新增门店数切换为单店日均销售额与坪效，停止以加密为目标的选址授权。</w:t>
      </w:r>
    </w:p>
    <w:p>
      <w:pPr>
        <w:pStyle w:val="ListNumber"/>
        <w:numPr>
          <w:ilvl w:val="0"/>
          <w:numId w:val="11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优先在省会与强二线城市建立区域供应链与培训枢纽，使省域多城渗透具备可复制的运营底座。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（二）场景结构单极，抗风险能力偏弱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数据支撑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商场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购物中心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2,341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33.7%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写字楼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商务区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1,153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16.6%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机场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1.84%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高铁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火车站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1.70%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景区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公园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1.53%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社区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住宅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医院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学校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1.12%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交通枢纽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服务区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0.76%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涉外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口岸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0.09%</w:t>
            </w:r>
          </w:p>
        </w:tc>
      </w:tr>
    </w:tbl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商场系门店是第二大场景的两倍；交通枢纽类（机场、高铁、枢纽服务区）合计</w:t>
      </w:r>
      <w:r>
        <w:rPr>
          <w:rFonts w:ascii="微软雅黑" w:hAnsi="微软雅黑"/>
          <w:color w:val="212121"/>
          <w:sz w:val="18"/>
        </w:rPr>
        <w:t xml:space="preserve"> 299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家，仅占</w:t>
      </w:r>
      <w:r>
        <w:rPr>
          <w:rFonts w:ascii="微软雅黑" w:hAnsi="微软雅黑"/>
          <w:color w:val="212121"/>
          <w:sz w:val="18"/>
        </w:rPr>
        <w:t xml:space="preserve"> 4.3%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；社区与医院高校合计</w:t>
      </w:r>
      <w:r>
        <w:rPr>
          <w:rFonts w:ascii="微软雅黑" w:hAnsi="微软雅黑"/>
          <w:color w:val="212121"/>
          <w:sz w:val="18"/>
        </w:rPr>
        <w:t xml:space="preserve"> 158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家，仅占</w:t>
      </w:r>
      <w:r>
        <w:rPr>
          <w:rFonts w:ascii="微软雅黑" w:hAnsi="微软雅黑"/>
          <w:color w:val="212121"/>
          <w:sz w:val="18"/>
        </w:rPr>
        <w:t xml:space="preserve"> 2.3%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。门店客流高度绑定商场客流，一旦商场客流波动，网络整体承压。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调整动作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将商场系门店占比在三年内压降至</w:t>
      </w:r>
      <w:r>
        <w:rPr>
          <w:sz w:val="18"/>
        </w:rPr>
        <w:t xml:space="preserve"> 25%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以内。实现路径为通过新增点位结构稀释、配合到期租约不续约的自然退出，不以主动关店为手段；新增点位优先补机场、高铁站、三甲医院、高校与办公园区，这些点位客流刚性、租约周期长、竞争密度相对低。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交通枢纽类门店当前仅</w:t>
      </w:r>
      <w:r>
        <w:rPr>
          <w:sz w:val="18"/>
        </w:rPr>
        <w:t xml:space="preserve"> 4.3%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，却贡献了绝大多数超长营业门店（营业时长</w:t>
      </w:r>
      <w:r>
        <w:rPr>
          <w:sz w:val="18"/>
        </w:rPr>
        <w:t xml:space="preserve"> 18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小时以上的门店共</w:t>
      </w:r>
      <w:r>
        <w:rPr>
          <w:sz w:val="18"/>
        </w:rPr>
        <w:t xml:space="preserve"> 10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家，几乎全部为机场店），说明枢纽点位具备长时段高产出能力，值得作为独立品类加强投入。</w:t>
      </w:r>
    </w:p>
    <w:p>
      <w:pPr>
        <w:pStyle w:val="ListNumber"/>
        <w:numPr>
          <w:ilvl w:val="0"/>
          <w:numId w:val="12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社区场景推出</w:t>
      </w:r>
      <w:r>
        <w:rPr>
          <w:sz w:val="18"/>
        </w:rPr>
        <w:t xml:space="preserve"> 60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80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平方米小面积卫星店模型，以自提与外送为主、堂食为辅，用低租金低人力结构切入，避免与商场大店正面竞争。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（三）营业时段高度同质，早高峰供给偏窄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数据支撑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开门时段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06:00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06:01–06:30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374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5.4%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06:31–07:00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3,646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52.5%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07:01–07:30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1,451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20.9%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07:31–08:00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663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08:01–09:00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4.5%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09:01–10:00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334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4.8%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10:00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0.2%</w:t>
            </w:r>
          </w:p>
        </w:tc>
      </w:tr>
    </w:tbl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超过一半门店挤在</w:t>
      </w:r>
      <w:r>
        <w:rPr>
          <w:sz w:val="18"/>
        </w:rPr>
        <w:t xml:space="preserve"> 06:31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07:00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的半小时窗口内开门，供给窗口与办公客流早高峰几乎同时打开，缺乏前置准备时间。</w:t>
      </w:r>
    </w:p>
    <w:p>
      <w:pPr>
        <w:pStyle w:val="ListBullet"/>
        <w:spacing w:after="63"/>
        <w:jc w:val="both"/>
      </w:pPr>
      <w:r>
        <w:rPr>
          <w:sz w:val="18"/>
        </w:rPr>
        <w:t xml:space="preserve">06:30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前开门仅</w:t>
      </w:r>
      <w:r>
        <w:rPr>
          <w:sz w:val="18"/>
        </w:rPr>
        <w:t xml:space="preserve"> 450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家，占</w:t>
      </w:r>
      <w:r>
        <w:rPr>
          <w:sz w:val="18"/>
        </w:rPr>
        <w:t xml:space="preserve"> 6.5%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逐小时在营门店数：峰值出现在</w:t>
      </w:r>
      <w:r>
        <w:rPr>
          <w:sz w:val="18"/>
        </w:rPr>
        <w:t xml:space="preserve"> 13:00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，为</w:t>
      </w:r>
      <w:r>
        <w:rPr>
          <w:sz w:val="18"/>
        </w:rPr>
        <w:t xml:space="preserve"> 6,930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家；谷值出现在</w:t>
      </w:r>
      <w:r>
        <w:rPr>
          <w:sz w:val="18"/>
        </w:rPr>
        <w:t xml:space="preserve"> 02:00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，为</w:t>
      </w:r>
      <w:r>
        <w:rPr>
          <w:sz w:val="18"/>
        </w:rPr>
        <w:t xml:space="preserve"> 61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家。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调整动作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将门店早班准备时间前置至</w:t>
      </w:r>
      <w:r>
        <w:rPr>
          <w:sz w:val="18"/>
        </w:rPr>
        <w:t xml:space="preserve"> 06:00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，使早餐档在</w:t>
      </w:r>
      <w:r>
        <w:rPr>
          <w:sz w:val="18"/>
        </w:rPr>
        <w:t xml:space="preserve"> 06:30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前完成出品准备，直接承接早高峰客流。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早餐档独立配置人力与产能，包括独立备餐台与预制品，不再与午市共用同一套排班。</w:t>
      </w:r>
    </w:p>
    <w:p>
      <w:pPr>
        <w:pStyle w:val="ListNumber"/>
        <w:numPr>
          <w:ilvl w:val="0"/>
          <w:numId w:val="13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非枢纽、非夜经济区域的门店，打烊时间前移</w:t>
      </w:r>
      <w:r>
        <w:rPr>
          <w:sz w:val="18"/>
        </w:rPr>
        <w:t xml:space="preserve"> 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小时，压缩</w:t>
      </w:r>
      <w:r>
        <w:rPr>
          <w:sz w:val="18"/>
        </w:rPr>
        <w:t xml:space="preserve"> 22:00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之后的空转时长。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（四）营业时长结构性偏长，人力成本刚性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数据支撑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</w:t>
      </w:r>
      <w:r>
        <w:rPr>
          <w:rFonts w:ascii="微软雅黑" w:hAnsi="微软雅黑"/>
          <w:color w:val="212121"/>
          <w:sz w:val="18"/>
        </w:rPr>
        <w:t xml:space="preserve"> 6,871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家可计算营业时长的门店中，分布如下表：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营业时长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占比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小时以内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10–12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1,378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12–14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2,073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30.2%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14–16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3,167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46.1%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16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小时以上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0.6%</w:t>
            </w:r>
          </w:p>
        </w:tc>
      </w:tr>
    </w:tbl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平均营业时长</w:t>
      </w:r>
      <w:r>
        <w:rPr>
          <w:sz w:val="18"/>
        </w:rPr>
        <w:t xml:space="preserve"> 13.65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小时、中位数</w:t>
      </w:r>
      <w:r>
        <w:rPr>
          <w:sz w:val="18"/>
        </w:rPr>
        <w:t xml:space="preserve"> 14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小时；营业时长</w:t>
      </w:r>
      <w:r>
        <w:rPr>
          <w:sz w:val="18"/>
        </w:rPr>
        <w:t xml:space="preserve"> 14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小时以上的门店达</w:t>
      </w:r>
      <w:r>
        <w:rPr>
          <w:sz w:val="18"/>
        </w:rPr>
        <w:t xml:space="preserve"> 4,231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家，占</w:t>
      </w:r>
      <w:r>
        <w:rPr>
          <w:sz w:val="18"/>
        </w:rPr>
        <w:t xml:space="preserve"> 61.6%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Bullet"/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省级差异明显：海南</w:t>
      </w:r>
      <w:r>
        <w:rPr>
          <w:sz w:val="18"/>
        </w:rPr>
        <w:t xml:space="preserve"> 14.55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小时、湖南</w:t>
      </w:r>
      <w:r>
        <w:rPr>
          <w:sz w:val="18"/>
        </w:rPr>
        <w:t xml:space="preserve"> 14.52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小时、广西</w:t>
      </w:r>
      <w:r>
        <w:rPr>
          <w:sz w:val="18"/>
        </w:rPr>
        <w:t xml:space="preserve"> 14.39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小时位居前列，吉林</w:t>
      </w:r>
      <w:r>
        <w:rPr>
          <w:sz w:val="18"/>
        </w:rPr>
        <w:t xml:space="preserve"> 12.56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小时、青海</w:t>
      </w:r>
      <w:r>
        <w:rPr>
          <w:sz w:val="18"/>
        </w:rPr>
        <w:t xml:space="preserve"> 12.57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小时、黑龙江</w:t>
      </w:r>
      <w:r>
        <w:rPr>
          <w:sz w:val="18"/>
        </w:rPr>
        <w:t xml:space="preserve"> 12.71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小时相对收敛，极差</w:t>
      </w:r>
      <w:r>
        <w:rPr>
          <w:sz w:val="18"/>
        </w:rPr>
        <w:t xml:space="preserve"> 1.99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小时。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营业时长的刚性意味着人力成本刚性。长时段低客流的营业时间并未产生相应产出，却锁定了排班成本。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调整动作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建立按城市属性分类的营业时长标准：旅游与夜经济城市维持</w:t>
      </w:r>
      <w:r>
        <w:rPr>
          <w:sz w:val="18"/>
        </w:rPr>
        <w:t xml:space="preserve"> 14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16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小时；商务办公城市收敛至</w:t>
      </w:r>
      <w:r>
        <w:rPr>
          <w:sz w:val="18"/>
        </w:rPr>
        <w:t xml:space="preserve"> 12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14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小时；社区门店控制在</w:t>
      </w:r>
      <w:r>
        <w:rPr>
          <w:sz w:val="18"/>
        </w:rPr>
        <w:t xml:space="preserve"> 11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13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小时。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将缩短营业时段释放的人力，优先补充至早班</w:t>
      </w:r>
      <w:r>
        <w:rPr>
          <w:sz w:val="18"/>
        </w:rPr>
        <w:t xml:space="preserve"> 06:00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09:00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与午市峰值</w:t>
      </w:r>
      <w:r>
        <w:rPr>
          <w:sz w:val="18"/>
        </w:rPr>
        <w:t xml:space="preserve"> 12:00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14:00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，实现人力在时段内的再平衡，而非净增编制。</w:t>
      </w:r>
    </w:p>
    <w:p>
      <w:pPr>
        <w:pStyle w:val="ListNumber"/>
        <w:numPr>
          <w:ilvl w:val="0"/>
          <w:numId w:val="14"/>
        </w:numPr>
        <w:spacing w:after="63"/>
        <w:jc w:val="both"/>
      </w:pPr>
      <w:r>
        <w:rPr>
          <w:rFonts w:ascii="微软雅黑" w:eastAsia="微软雅黑" w:hAnsi="微软雅黑" w:cs="微软雅黑" w:hint="eastAsia"/>
          <w:sz w:val="18"/>
          <w:lang w:eastAsia="zh-CN"/>
        </w:rPr>
        <w:t>对营业时长超过</w:t>
      </w:r>
      <w:r>
        <w:rPr>
          <w:sz w:val="18"/>
        </w:rPr>
        <w:t xml:space="preserve"> 16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小时的</w:t>
      </w:r>
      <w:r>
        <w:rPr>
          <w:sz w:val="18"/>
        </w:rPr>
        <w:t xml:space="preserve"> 43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家门店逐店复核产出，确认其是否具备枢纽级客流支撑。</w:t>
      </w:r>
      <w:r/>
    </w:p>
    <w:p>
      <w:bookmarkStart w:id="9" w:name="_Toc_section_4"/>
      <w:bookmarkStart w:id="3" w:name="section-4"/>
      <w:pPr>
        <w:pStyle w:val="Heading2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四、行动清单与优先级</w:t>
      </w:r>
      <w:bookmarkEnd w:id="9"/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按战略影响与落地难度两个维度排序。每条动作均已明确责任方与可量化的验收标准。</w:t>
      </w:r>
    </w:p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优先执行区（高影响、低难度，建议当季启动）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动作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责任方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时间节点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早班前置至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06:00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区域运营部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3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06:30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前完成出品准备的门店占比由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6.5%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提升至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40%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营业时长分类标准落地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运营标准部、人力资源部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6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商务办公城市门店平均营业时长由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13.65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小时降至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13.0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小时以内，同时人均工时成本不上升</w:t>
            </w:r>
          </w:p>
        </w:tc>
      </w:tr>
    </w:tbl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战略投入区（高影响、高难度，建议年内立项）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动作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责任方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时间节点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场景结构再平衡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门店拓展部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3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年度新增点位中非商场类占比不低于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40%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；商场系存量占比由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33.7%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降至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25%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以内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12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个潜力省份省域渗透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区域拓展部、供应链中心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首年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在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12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个区域净增门店不少于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300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家，单城门店数由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9.6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家提升至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11.5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家（按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155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座城市净增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300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家测算）</w:t>
            </w:r>
          </w:p>
        </w:tc>
      </w:tr>
    </w:tbl>
    <w:p>
      <w:pPr>
        <w:spacing w:after="72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18"/>
          <w:lang w:eastAsia="zh-CN"/>
        </w:rPr>
        <w:t>稳态优化区（中低影响，按节奏推进）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序号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动作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责任方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时间节点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上海北京考核机制切换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区域管理层、绩效委员会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下一考核周期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沪京两地门店考核表纳入单店日均销售额指标，权重不低于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40%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社区卫星店模型试点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产品创新组、门店拓展部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 xml:space="preserve">6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个月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开出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5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家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60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至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80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>平方米门店，单店月坪效不低于同城商场店的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sz w:val="18"/>
              </w:rPr>
              <w:t xml:space="preserve"> 80%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0" w:name="_Toc_section_5"/>
      <w:bookmarkStart w:id="4" w:name="section-5"/>
      <w:pPr>
        <w:pStyle w:val="Heading2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五、数据质量说明</w:t>
      </w:r>
      <w:bookmarkEnd w:id="10"/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本报告基于门店名录数据（原始载体为</w:t>
      </w:r>
      <w:r>
        <w:rPr>
          <w:rFonts w:ascii="微软雅黑" w:hAnsi="微软雅黑"/>
          <w:color w:val="212121"/>
          <w:sz w:val="18"/>
        </w:rPr>
        <w:t xml:space="preserve"> Excel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文件，未标注统计时点，此为本次分析的固有局限）。分析前已完成清洗，原始数据存在系统性列串位问题，如不清洗将导致结论偏差，特此说明：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省份与城市列存在串位。</w:t>
      </w:r>
      <w:r>
        <w:rPr>
          <w:rFonts w:ascii="微软雅黑" w:eastAsia="微软雅黑" w:hAnsi="微软雅黑" w:cs="微软雅黑" w:hint="eastAsia"/>
          <w:sz w:val="18"/>
          <w:lang w:eastAsia="zh-CN"/>
        </w:rPr>
        <w:t>原始数据中</w:t>
      </w:r>
      <w:r>
        <w:rPr>
          <w:sz w:val="18"/>
        </w:rPr>
        <w:t xml:space="preserve"> 8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行省份字段、</w:t>
      </w:r>
      <w:r>
        <w:rPr>
          <w:sz w:val="18"/>
        </w:rPr>
        <w:t xml:space="preserve">5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行城市字段混入了时间值与坐标值。按原始数据统计会得出覆盖</w:t>
      </w:r>
      <w:r>
        <w:rPr>
          <w:sz w:val="18"/>
        </w:rPr>
        <w:t xml:space="preserve"> 36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个省级行政区的结论，真实值为</w:t>
      </w:r>
      <w:r>
        <w:rPr>
          <w:sz w:val="18"/>
        </w:rPr>
        <w:t xml:space="preserve"> 29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个；城市数由</w:t>
      </w:r>
      <w:r>
        <w:rPr>
          <w:sz w:val="18"/>
        </w:rPr>
        <w:t xml:space="preserve"> 267 </w:t>
      </w:r>
      <w:r>
        <w:rPr>
          <w:rFonts w:ascii="微软雅黑" w:eastAsia="微软雅黑" w:hAnsi="微软雅黑" w:cs="微软雅黑" w:hint="eastAsia"/>
          <w:sz w:val="18"/>
          <w:lang w:eastAsia="zh-CN"/>
        </w:rPr>
        <w:t>修正为</w:t>
      </w:r>
      <w:r>
        <w:rPr>
          <w:sz w:val="18"/>
        </w:rPr>
        <w:t xml:space="preserve"> 263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坐标异常 26 行。</w:t>
      </w:r>
      <w:r>
        <w:rPr>
          <w:rFonts w:ascii="微软雅黑" w:eastAsia="微软雅黑" w:hAnsi="微软雅黑" w:cs="微软雅黑" w:hint="eastAsia"/>
          <w:sz w:val="18"/>
          <w:lang w:eastAsia="zh-CN"/>
        </w:rPr>
        <w:t>存在缺失、错位或时间值串入，已从地图渲染中剔除，其余统计维度保留。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59 家门店开店时间等于闭店时间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，多为</w:t>
      </w:r>
      <w:r>
        <w:rPr>
          <w:sz w:val="18"/>
        </w:rPr>
        <w:t xml:space="preserve"> 00:00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至</w:t>
      </w:r>
      <w:r>
        <w:rPr>
          <w:sz w:val="18"/>
        </w:rPr>
        <w:t xml:space="preserve"> 00:00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，按疑似全天营业单独归类，不计入平均营业时长。若误按</w:t>
      </w:r>
      <w:r>
        <w:rPr>
          <w:sz w:val="18"/>
        </w:rPr>
        <w:t xml:space="preserve"> 0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小时计算，平均营业时长会被错误拉低至</w:t>
      </w:r>
      <w:r>
        <w:rPr>
          <w:sz w:val="18"/>
        </w:rPr>
        <w:t xml:space="preserve"> 13.53 </w:t>
      </w:r>
      <w:r>
        <w:rPr>
          <w:rFonts w:ascii="微软雅黑" w:eastAsia="微软雅黑" w:hAnsi="微软雅黑" w:cs="微软雅黑" w:hint="eastAsia"/>
          <w:sz w:val="18"/>
          <w:lang w:eastAsia="zh-CN"/>
        </w:rPr>
        <w:t>小时。</w:t>
      </w:r>
    </w:p>
    <w:p>
      <w:pPr>
        <w:pStyle w:val="ListNumber"/>
        <w:numPr>
          <w:ilvl w:val="0"/>
          <w:numId w:val="15"/>
        </w:numPr>
        <w:spacing w:after="63"/>
        <w:jc w:val="both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场景分类为多标签关键词统计。</w:t>
      </w:r>
      <w:r>
        <w:rPr>
          <w:rFonts w:ascii="微软雅黑" w:eastAsia="微软雅黑" w:hAnsi="微软雅黑" w:cs="微软雅黑" w:hint="eastAsia"/>
          <w:sz w:val="18"/>
          <w:lang w:eastAsia="zh-CN"/>
        </w:rPr>
        <w:t>单家门店可能同时命中多个场景类别，因此各场景占比之和大于</w:t>
      </w:r>
      <w:r>
        <w:rPr>
          <w:sz w:val="18"/>
        </w:rPr>
        <w:t xml:space="preserve"> 100%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。该指标反映选址倾向，不等同于精确业态归属。</w:t>
      </w:r>
      <w:r/>
    </w:p>
    <w:p>
      <w:bookmarkStart w:id="11" w:name="_Toc_section_6"/>
      <w:bookmarkStart w:id="5" w:name="section-6"/>
      <w:pPr>
        <w:pStyle w:val="Heading2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 xml:space="preserve">  附录：关键数据表</w:t>
      </w:r>
      <w:bookmarkEnd w:id="11"/>
    </w:p>
    <w:p>
      <w:pPr>
        <w:jc w:val="both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以下榜单与明细表支撑正文各项结论，供决策讨论时核对原始数值。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排名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省级行政区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上海市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1,112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广东省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986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浙江省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976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江苏省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867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北京市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559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四川省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289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湖北省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224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福建省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221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山东省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天津市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161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排名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城市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上海市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1,112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北京市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559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杭州市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411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深圳市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330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广州市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298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苏州市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270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成都市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227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宁波市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199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南京市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193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武汉市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184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排名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省级行政区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覆盖城市数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单城门店数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四川省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289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15.2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湖北省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18.7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山东省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12.9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辽宁省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131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10.9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湖南省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9.5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安徽省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河北省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8.5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河南省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7.8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广西壮族自治区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6.7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云南省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6.1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江西省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5.4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内蒙古自治区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3.2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合计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1,488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155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9.6</w:t>
            </w:r>
          </w:p>
        </w:tc>
      </w:tr>
    </w:tbl>
    <w:p>
      <w:pPr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筛选条件：覆盖城市数不少于</w:t>
      </w:r>
      <w:r>
        <w:rPr>
          <w:rFonts w:ascii="微软雅黑" w:hAnsi="微软雅黑"/>
          <w:color w:val="616161"/>
          <w:sz w:val="16"/>
        </w:rPr>
        <w:t xml:space="preserve"> 11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座，且门店数少于</w:t>
      </w:r>
      <w:r>
        <w:rPr>
          <w:rFonts w:ascii="微软雅黑" w:hAnsi="微软雅黑"/>
          <w:color w:val="616161"/>
          <w:sz w:val="16"/>
        </w:rPr>
        <w:t xml:space="preserve"> 300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排名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省级行政区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覆盖城市数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门店数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单城门店数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广东省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986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47.0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四川省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289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15.2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山东省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12.9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安徽省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5.9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江苏省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867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66.7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湖南省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9.5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湖北省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224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18.7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河南省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93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1" w:type="dxa"/>
              <w:bottom w:w="101" w:type="dxa"/>
              <w:left w:w="144" w:type="dxa"/>
              <w:right w:w="144" w:type="dxa"/>
            </w:tcMar>
          </w:tcPr>
          <w:p>
            <w:pPr>
              <w:jc w:val="righ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sz w:val="18"/>
              </w:rPr>
              <w:t>7.8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both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jc w:val="left"/>
      <w:outlineLvl w:val="1"/>
    </w:pPr>
    <w:rPr>
      <w:rFonts w:ascii="微软雅黑" w:hAnsi="微软雅黑" w:eastAsia="微软雅黑"/>
      <w:b/>
      <w:bCs/>
      <w:color w:val="1565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jc w:val="left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