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5984"/>
          <w:sz w:val="28"/>
          <w:szCs w:val="28"/>
          <w:rtl/>
        </w:rPr>
        <w:t xml:space="preserve">חזון שקורא לפעולה - פריסה ל-4 תחומי עשייה</w:t>
      </w:r>
    </w:p>
    <w:p>
      <w:pPr>
        <w:spacing w:after="200"/>
        <w:jc w:val="center"/>
      </w:pPr>
      <w:r>
        <w:rPr>
          <w:color w:val="2E5984"/>
          <w:sz w:val="24"/>
          <w:szCs w:val="24"/>
          <w:rtl/>
        </w:rPr>
        <w:t xml:space="preserve">תרגום משפט חזון בית ספרי למשימות אופרטיביות בשטח</w:t>
      </w:r>
    </w:p>
    <w:p>
      <w:pPr>
        <w:spacing w:after="300"/>
        <w:jc w:val="right"/>
      </w:pPr>
      <w:r>
        <w:rPr>
          <w:b/>
          <w:bCs/>
          <w:sz w:val="24"/>
          <w:szCs w:val="24"/>
          <w:rtl/>
        </w:rPr>
        <w:t xml:space="preserve">משפט החזון המרכזי:</w:t>
      </w:r>
      <w:r>
        <w:rPr>
          <w:sz w:val="24"/>
          <w:szCs w:val="24"/>
          <w:rtl/>
        </w:rPr>
        <w:t xml:space="preserve"> ______________________________________________________________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ארגוני-ניהולי</w:t>
            </w:r>
          </w:p>
        </w:tc>
        <w:tc>
          <w:tcPr>
            <w:tcW w:type="pct" w:w="2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פדגוגי</w:t>
            </w:r>
          </w:p>
        </w:tc>
        <w:tc>
          <w:tcPr>
            <w:tcW w:type="pct" w:w="2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חברתי-ערכי</w:t>
            </w:r>
          </w:p>
        </w:tc>
        <w:tc>
          <w:tcPr>
            <w:tcW w:type="pct" w:w="25%"/>
            <w:shd w:fill="E0E0E0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  <w:rtl/>
              </w:rPr>
              <w:t xml:space="preserve">רגשי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rtl/>
      </w:rPr>
    </w:rPrDefault>
    <w:pPrDefault>
      <w:pPr>
        <w:spacing w:line="360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2026-08-09T08:21:35.241Z</dcterms:created>
  <dcterms:modified xsi:type="dcterms:W3CDTF">2026-08-09T08:21:35.242Z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