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360" w:lineRule="auto" w:before="0" w:after="0"/>
      </w:pPr>
      <w:r>
        <w:rPr>
          <w:rFonts w:eastAsia="宋体" w:ascii="Times New Roman" w:hAnsi="Times New Roman" w:cs="Times New Roman"/>
          <w:b/>
          <w:sz w:val="22"/>
        </w:rPr>
        <w:t>表X  GenAI 词典关键词分类</w:t>
      </w:r>
    </w:p>
    <w:p>
      <w:pPr>
        <w:jc w:val="center"/>
        <w:spacing w:line="360" w:lineRule="auto" w:before="0" w:after="0"/>
      </w:pPr>
      <w:r>
        <w:rPr>
          <w:rFonts w:eastAsia="Times New Roman" w:ascii="Times New Roman" w:hAnsi="Times New Roman" w:cs="Times New Roman"/>
          <w:b/>
          <w:sz w:val="18"/>
        </w:rPr>
        <w:t>Table X  Classification of GenAI Dictionary Keywords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tcBorders>
              <w:top w:val="single" w:sz="12" w:space="0" w:color="000000"/>
              <w:bottom w:val="single" w:sz="12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  <w:spacing w:line="240" w:lineRule="auto"/>
            </w:pPr>
            <w:r/>
            <w:r>
              <w:rPr>
                <w:rFonts w:eastAsia="宋体" w:ascii="Times New Roman" w:hAnsi="Times New Roman" w:cs="Times New Roman"/>
                <w:b/>
                <w:sz w:val="21"/>
              </w:rPr>
              <w:t>类别</w:t>
            </w:r>
          </w:p>
        </w:tc>
        <w:tc>
          <w:tcPr>
            <w:tcW w:type="dxa" w:w="1134"/>
            <w:tcBorders>
              <w:top w:val="single" w:sz="12" w:space="0" w:color="000000"/>
              <w:bottom w:val="single" w:sz="12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  <w:spacing w:line="240" w:lineRule="auto"/>
            </w:pPr>
            <w:r/>
            <w:r>
              <w:rPr>
                <w:rFonts w:eastAsia="宋体" w:ascii="Times New Roman" w:hAnsi="Times New Roman" w:cs="Times New Roman"/>
                <w:b/>
                <w:sz w:val="21"/>
              </w:rPr>
              <w:t>词条数量</w:t>
            </w:r>
          </w:p>
        </w:tc>
        <w:tc>
          <w:tcPr>
            <w:tcW w:type="dxa" w:w="6520"/>
            <w:tcBorders>
              <w:top w:val="single" w:sz="12" w:space="0" w:color="000000"/>
              <w:bottom w:val="single" w:sz="12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  <w:spacing w:line="240" w:lineRule="auto"/>
            </w:pPr>
            <w:r/>
            <w:r>
              <w:rPr>
                <w:rFonts w:eastAsia="宋体" w:ascii="Times New Roman" w:hAnsi="Times New Roman" w:cs="Times New Roman"/>
                <w:b/>
                <w:sz w:val="21"/>
              </w:rPr>
              <w:t>关键词</w:t>
            </w:r>
          </w:p>
        </w:tc>
      </w:tr>
      <w:tr>
        <w:tc>
          <w:tcPr>
            <w:tcW w:type="dxa" w:w="1984"/>
            <w:tcBorders>
              <w:top w:val="single" w:sz="6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  <w:spacing w:line="240" w:lineRule="auto"/>
            </w:pPr>
            <w:r/>
            <w:r>
              <w:rPr>
                <w:rFonts w:eastAsia="宋体" w:ascii="Times New Roman" w:hAnsi="Times New Roman" w:cs="Times New Roman"/>
                <w:sz w:val="21"/>
              </w:rPr>
              <w:t>核心概念类</w:t>
            </w:r>
          </w:p>
        </w:tc>
        <w:tc>
          <w:tcPr>
            <w:tcW w:type="dxa" w:w="1134"/>
            <w:tcBorders>
              <w:top w:val="single" w:sz="6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  <w:spacing w:line="240" w:lineRule="auto"/>
            </w:pPr>
            <w:r/>
            <w:r>
              <w:rPr>
                <w:rFonts w:eastAsia="宋体" w:ascii="Times New Roman" w:hAnsi="Times New Roman" w:cs="Times New Roman"/>
                <w:sz w:val="21"/>
              </w:rPr>
              <w:t>5</w:t>
            </w:r>
          </w:p>
        </w:tc>
        <w:tc>
          <w:tcPr>
            <w:tcW w:type="dxa" w:w="6520"/>
            <w:tcBorders>
              <w:top w:val="single" w:sz="6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both"/>
              <w:spacing w:line="240" w:lineRule="auto"/>
            </w:pPr>
            <w:r/>
            <w:r>
              <w:rPr>
                <w:rFonts w:eastAsia="宋体" w:ascii="Times New Roman" w:hAnsi="Times New Roman" w:cs="Times New Roman"/>
                <w:sz w:val="21"/>
              </w:rPr>
              <w:t>生成式人工智能、生成式 AI、GENAI、GENERATIVE AI、AIGC</w:t>
            </w:r>
          </w:p>
        </w:tc>
      </w:tr>
      <w:tr>
        <w:tc>
          <w:tcPr>
            <w:tcW w:type="dxa" w:w="1984"/>
            <w:tcBorders>
              <w:top w:val="single" w:sz="6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  <w:spacing w:line="240" w:lineRule="auto"/>
            </w:pPr>
            <w:r/>
            <w:r>
              <w:rPr>
                <w:rFonts w:eastAsia="宋体" w:ascii="Times New Roman" w:hAnsi="Times New Roman" w:cs="Times New Roman"/>
                <w:sz w:val="21"/>
              </w:rPr>
              <w:t>技术术语类</w:t>
            </w:r>
          </w:p>
        </w:tc>
        <w:tc>
          <w:tcPr>
            <w:tcW w:type="dxa" w:w="1134"/>
            <w:tcBorders>
              <w:top w:val="single" w:sz="6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  <w:spacing w:line="240" w:lineRule="auto"/>
            </w:pPr>
            <w:r/>
            <w:r>
              <w:rPr>
                <w:rFonts w:eastAsia="宋体" w:ascii="Times New Roman" w:hAnsi="Times New Roman" w:cs="Times New Roman"/>
                <w:sz w:val="21"/>
              </w:rPr>
              <w:t>27</w:t>
            </w:r>
          </w:p>
        </w:tc>
        <w:tc>
          <w:tcPr>
            <w:tcW w:type="dxa" w:w="6520"/>
            <w:tcBorders>
              <w:top w:val="single" w:sz="6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both"/>
              <w:spacing w:line="240" w:lineRule="auto"/>
            </w:pPr>
            <w:r/>
            <w:r>
              <w:rPr>
                <w:rFonts w:eastAsia="宋体" w:ascii="Times New Roman" w:hAnsi="Times New Roman" w:cs="Times New Roman"/>
                <w:sz w:val="21"/>
              </w:rPr>
              <w:t>大语言模型、大模型、LLM、Transformer、扩散模型、GAN、RLHF、LoRA、RAG、检索增强生成、SFT、指令微调、多模态生成、多模态大模型、预训练模型、基础模型、Foundation Model、生成对抗网络、变分自编码器、VAE、自回归模型、智能体、AI Agent、Prompt、上下文学习、In-Context Learning、混合专家模型、MoE</w:t>
            </w:r>
          </w:p>
        </w:tc>
      </w:tr>
      <w:tr>
        <w:tc>
          <w:tcPr>
            <w:tcW w:type="dxa" w:w="1984"/>
            <w:tcBorders>
              <w:top w:val="single" w:sz="6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  <w:spacing w:line="240" w:lineRule="auto"/>
            </w:pPr>
            <w:r/>
            <w:r>
              <w:rPr>
                <w:rFonts w:eastAsia="宋体" w:ascii="Times New Roman" w:hAnsi="Times New Roman" w:cs="Times New Roman"/>
                <w:sz w:val="21"/>
              </w:rPr>
              <w:t>平台基础设施类</w:t>
            </w:r>
          </w:p>
        </w:tc>
        <w:tc>
          <w:tcPr>
            <w:tcW w:type="dxa" w:w="1134"/>
            <w:tcBorders>
              <w:top w:val="single" w:sz="6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  <w:spacing w:line="240" w:lineRule="auto"/>
            </w:pPr>
            <w:r/>
            <w:r>
              <w:rPr>
                <w:rFonts w:eastAsia="宋体" w:ascii="Times New Roman" w:hAnsi="Times New Roman" w:cs="Times New Roman"/>
                <w:sz w:val="21"/>
              </w:rPr>
              <w:t>8</w:t>
            </w:r>
          </w:p>
        </w:tc>
        <w:tc>
          <w:tcPr>
            <w:tcW w:type="dxa" w:w="6520"/>
            <w:tcBorders>
              <w:top w:val="single" w:sz="6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both"/>
              <w:spacing w:line="240" w:lineRule="auto"/>
            </w:pPr>
            <w:r/>
            <w:r>
              <w:rPr>
                <w:rFonts w:eastAsia="宋体" w:ascii="Times New Roman" w:hAnsi="Times New Roman" w:cs="Times New Roman"/>
                <w:sz w:val="21"/>
              </w:rPr>
              <w:t>火山引擎、火山方舟、千帆大模型、百炼大模型、ModelArts、Amazon Bedrock、Vertex AI、NVIDIA AI</w:t>
            </w:r>
          </w:p>
        </w:tc>
      </w:tr>
      <w:tr>
        <w:tc>
          <w:tcPr>
            <w:tcW w:type="dxa" w:w="1984"/>
            <w:tcBorders>
              <w:top w:val="single" w:sz="6" w:space="0" w:color="000000"/>
              <w:bottom w:val="single" w:sz="12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  <w:spacing w:line="240" w:lineRule="auto"/>
            </w:pPr>
            <w:r/>
            <w:r>
              <w:rPr>
                <w:rFonts w:eastAsia="宋体" w:ascii="Times New Roman" w:hAnsi="Times New Roman" w:cs="Times New Roman"/>
                <w:sz w:val="21"/>
              </w:rPr>
              <w:t>产品与厂商类</w:t>
            </w:r>
          </w:p>
        </w:tc>
        <w:tc>
          <w:tcPr>
            <w:tcW w:type="dxa" w:w="1134"/>
            <w:tcBorders>
              <w:top w:val="single" w:sz="6" w:space="0" w:color="000000"/>
              <w:bottom w:val="single" w:sz="12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  <w:spacing w:line="240" w:lineRule="auto"/>
            </w:pPr>
            <w:r/>
            <w:r>
              <w:rPr>
                <w:rFonts w:eastAsia="宋体" w:ascii="Times New Roman" w:hAnsi="Times New Roman" w:cs="Times New Roman"/>
                <w:sz w:val="21"/>
              </w:rPr>
              <w:t>63</w:t>
            </w:r>
          </w:p>
        </w:tc>
        <w:tc>
          <w:tcPr>
            <w:tcW w:type="dxa" w:w="6520"/>
            <w:tcBorders>
              <w:top w:val="single" w:sz="6" w:space="0" w:color="000000"/>
              <w:bottom w:val="single" w:sz="12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both"/>
              <w:spacing w:line="240" w:lineRule="auto"/>
            </w:pPr>
            <w:r/>
            <w:r>
              <w:rPr>
                <w:rFonts w:eastAsia="宋体" w:ascii="Times New Roman" w:hAnsi="Times New Roman" w:cs="Times New Roman"/>
                <w:sz w:val="21"/>
              </w:rPr>
              <w:t>ChatGPT、GPT、OpenAI、Copilot、Claude、Anthropic、Gemini、PaLM、LLaMA、Mistral、Grok、Hugging Face、Sora、Midjourney、Stable Diffusion、DALL-E、文心一言、通义千问、讯飞星火、智谱 AI、DeepSeek、Kimi、豆包等国内外主流 GenAI 产品与厂商名称（完整列表见附录）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