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E538" w14:textId="77777777" w:rsidR="00DF4202" w:rsidRPr="00AB5563" w:rsidRDefault="00DF4202">
      <w:pPr>
        <w:spacing w:before="60" w:after="60"/>
        <w:rPr>
          <w:rFonts w:asciiTheme="minorHAnsi" w:eastAsiaTheme="minorHAnsi" w:hAnsiTheme="minorHAnsi"/>
        </w:rPr>
      </w:pPr>
    </w:p>
    <w:p w14:paraId="51FF6C1C" w14:textId="77777777" w:rsidR="00DF4202" w:rsidRPr="00AB5563" w:rsidRDefault="00DF4202">
      <w:pPr>
        <w:spacing w:before="60" w:after="60"/>
        <w:rPr>
          <w:rFonts w:asciiTheme="minorHAnsi" w:eastAsiaTheme="minorHAnsi" w:hAnsiTheme="minorHAnsi"/>
        </w:rPr>
      </w:pPr>
    </w:p>
    <w:p w14:paraId="4EE3550C" w14:textId="77777777" w:rsidR="00DF4202" w:rsidRPr="00AB5563" w:rsidRDefault="00DF4202">
      <w:pPr>
        <w:spacing w:before="60" w:after="60"/>
        <w:rPr>
          <w:rFonts w:asciiTheme="minorHAnsi" w:eastAsiaTheme="minorHAnsi" w:hAnsiTheme="minorHAnsi"/>
        </w:rPr>
      </w:pPr>
    </w:p>
    <w:p w14:paraId="02429643" w14:textId="77777777" w:rsidR="00DF4202" w:rsidRPr="00AB5563" w:rsidRDefault="00DF4202">
      <w:pPr>
        <w:spacing w:before="60" w:after="60"/>
        <w:rPr>
          <w:rFonts w:asciiTheme="minorHAnsi" w:eastAsiaTheme="minorHAnsi" w:hAnsiTheme="minorHAnsi"/>
        </w:rPr>
      </w:pPr>
    </w:p>
    <w:p w14:paraId="4F8B4734" w14:textId="77777777" w:rsidR="00DF4202" w:rsidRPr="00AB5563" w:rsidRDefault="00000000">
      <w:pPr>
        <w:spacing w:after="100" w:line="28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1C69D4"/>
          <w:spacing w:val="80"/>
          <w:sz w:val="18"/>
          <w:szCs w:val="18"/>
        </w:rPr>
        <w:t>GRAVITY VENTURES · GLOBAL STRATEGY REPORT</w:t>
      </w:r>
    </w:p>
    <w:p w14:paraId="2D377EF2" w14:textId="77777777" w:rsidR="00DF4202" w:rsidRPr="00AB5563" w:rsidRDefault="00DF4202">
      <w:pPr>
        <w:pBdr>
          <w:bottom w:val="single" w:sz="36" w:space="0" w:color="1C69D4"/>
        </w:pBdr>
        <w:spacing w:after="240"/>
        <w:rPr>
          <w:rFonts w:asciiTheme="minorHAnsi" w:eastAsiaTheme="minorHAnsi" w:hAnsiTheme="minorHAnsi"/>
        </w:rPr>
      </w:pPr>
    </w:p>
    <w:p w14:paraId="450DC75B" w14:textId="77777777" w:rsidR="00DF4202" w:rsidRPr="00AB5563" w:rsidRDefault="00000000">
      <w:pPr>
        <w:spacing w:before="120" w:after="120" w:line="36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b/>
          <w:bCs/>
          <w:color w:val="0F2244"/>
          <w:sz w:val="72"/>
          <w:szCs w:val="72"/>
        </w:rPr>
        <w:t>BioSpero</w:t>
      </w:r>
      <w:proofErr w:type="spellEnd"/>
    </w:p>
    <w:p w14:paraId="3CA5C5CD" w14:textId="77777777" w:rsidR="00DF4202" w:rsidRPr="00AB5563" w:rsidRDefault="00000000">
      <w:pPr>
        <w:spacing w:after="200" w:line="32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1C2330"/>
          <w:sz w:val="56"/>
          <w:szCs w:val="56"/>
        </w:rPr>
        <w:t>해외진출전략 보고서</w:t>
      </w:r>
    </w:p>
    <w:p w14:paraId="3EA217D9" w14:textId="77777777" w:rsidR="00DF4202" w:rsidRPr="00AB5563" w:rsidRDefault="00000000">
      <w:pPr>
        <w:spacing w:after="8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475569"/>
          <w:sz w:val="26"/>
          <w:szCs w:val="26"/>
        </w:rPr>
        <w:t>Organ-on-Chip 비임상 플랫폼 — PESTEL·3C·STP 기반 글로벌 시장 진입 시나리오와 핵심고객 전략</w:t>
      </w:r>
      <w:r w:rsidRPr="00AB5563">
        <w:rPr>
          <w:rFonts w:asciiTheme="minorHAnsi" w:eastAsiaTheme="minorHAnsi" w:hAnsiTheme="minorHAnsi"/>
          <w:color w:val="1C2330"/>
          <w:sz w:val="26"/>
          <w:szCs w:val="26"/>
        </w:rPr>
      </w:r>
    </w:p>
    <w:p w14:paraId="6B79B985" w14:textId="77777777" w:rsidR="00DF4202" w:rsidRPr="00AB5563" w:rsidRDefault="00000000">
      <w:pPr>
        <w:spacing w:before="320" w:after="8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i/>
          <w:iCs/>
          <w:color w:val="0653B6"/>
          <w:sz w:val="20"/>
          <w:szCs w:val="20"/>
        </w:rPr>
        <w:t>FDA Modernization Act 2.0 · PESTEL/3C/STP · 일본 SPI 유상 PoC · 첫 IND 데이터 패키지 · 반복 소모품 매출</w:t>
      </w:r>
    </w:p>
    <w:p w14:paraId="37CF0D6A" w14:textId="77777777" w:rsidR="00DF4202" w:rsidRPr="00AB5563" w:rsidRDefault="00DF4202">
      <w:pPr>
        <w:spacing w:before="80" w:after="80"/>
        <w:rPr>
          <w:rFonts w:asciiTheme="minorHAnsi" w:eastAsiaTheme="minorHAnsi" w:hAnsiTheme="minorHAnsi"/>
        </w:rPr>
      </w:pPr>
    </w:p>
    <w:p w14:paraId="1D427D24" w14:textId="77777777" w:rsidR="00DF4202" w:rsidRPr="00AB5563" w:rsidRDefault="00DF4202">
      <w:pPr>
        <w:spacing w:before="80" w:after="80"/>
        <w:rPr>
          <w:rFonts w:asciiTheme="minorHAnsi" w:eastAsiaTheme="minorHAnsi" w:hAnsiTheme="minorHAnsi"/>
        </w:rPr>
      </w:pPr>
    </w:p>
    <w:p w14:paraId="1AC79B8E" w14:textId="77777777" w:rsidR="00DF4202" w:rsidRPr="00AB5563" w:rsidRDefault="00DF4202">
      <w:pPr>
        <w:spacing w:before="80" w:after="80"/>
        <w:rPr>
          <w:rFonts w:asciiTheme="minorHAnsi" w:eastAsiaTheme="minorHAnsi" w:hAnsiTheme="minorHAnsi"/>
        </w:rPr>
      </w:pPr>
    </w:p>
    <w:p w14:paraId="76A76961" w14:textId="77777777" w:rsidR="00DF4202" w:rsidRPr="00AB5563" w:rsidRDefault="00DF4202">
      <w:pPr>
        <w:spacing w:before="80" w:after="80"/>
        <w:rPr>
          <w:rFonts w:asciiTheme="minorHAnsi" w:eastAsiaTheme="minorHAnsi" w:hAnsiTheme="minorHAnsi"/>
        </w:rPr>
      </w:pPr>
    </w:p>
    <w:p w14:paraId="0F82A36E" w14:textId="77777777" w:rsidR="00DF4202" w:rsidRPr="00AB5563" w:rsidRDefault="00DF4202">
      <w:pPr>
        <w:spacing w:before="80" w:after="80"/>
        <w:rPr>
          <w:rFonts w:asciiTheme="minorHAnsi" w:eastAsiaTheme="minorHAnsi" w:hAnsiTheme="minorHAnsi"/>
        </w:rPr>
      </w:pPr>
    </w:p>
    <w:p w14:paraId="21C469BC" w14:textId="77777777" w:rsidR="00DF4202" w:rsidRPr="00AB5563" w:rsidRDefault="00DF4202">
      <w:pPr>
        <w:spacing w:before="80" w:after="80"/>
        <w:rPr>
          <w:rFonts w:asciiTheme="minorHAnsi" w:eastAsiaTheme="minorHAnsi" w:hAnsiTheme="minorHAnsi"/>
        </w:rPr>
      </w:pPr>
    </w:p>
    <w:p w14:paraId="071922AC" w14:textId="77777777" w:rsidR="00DF4202" w:rsidRPr="00AB5563" w:rsidRDefault="00DF4202">
      <w:pPr>
        <w:pBdr>
          <w:top w:val="single" w:sz="12" w:space="4" w:color="1C69D4"/>
        </w:pBdr>
        <w:spacing w:after="60"/>
        <w:rPr>
          <w:rFonts w:asciiTheme="minorHAnsi" w:eastAsiaTheme="minorHAnsi" w:hAnsiTheme="minorHAnsi"/>
        </w:rPr>
      </w:pPr>
    </w:p>
    <w:p w14:paraId="6A53DE00" w14:textId="67B1CA35" w:rsidR="00DF4202" w:rsidRPr="00AB5563" w:rsidRDefault="00000000">
      <w:pPr>
        <w:tabs>
          <w:tab w:val="right" w:pos="9026"/>
        </w:tabs>
        <w:spacing w:before="200" w:after="60" w:line="28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475569"/>
          <w:spacing w:val="60"/>
          <w:sz w:val="18"/>
          <w:szCs w:val="18"/>
        </w:rPr>
        <w:t>작성</w:t>
      </w:r>
      <w:r w:rsidRPr="00AB5563">
        <w:rPr>
          <w:rFonts w:asciiTheme="minorHAnsi" w:eastAsiaTheme="minorHAnsi" w:hAnsiTheme="minorHAnsi"/>
          <w:color w:val="1C2330"/>
        </w:rPr>
        <w:t xml:space="preserve">  </w:t>
      </w:r>
      <w:r w:rsidR="00AB5563" w:rsidRPr="00AB5563">
        <w:rPr>
          <w:rFonts w:asciiTheme="minorHAnsi" w:eastAsiaTheme="minorHAnsi" w:hAnsiTheme="minorHAnsi" w:cs="맑은 고딕" w:hint="eastAsia"/>
          <w:color w:val="1C2330"/>
        </w:rPr>
        <w:t xml:space="preserve">모란, </w:t>
      </w:r>
      <w:r w:rsidRPr="00AB5563">
        <w:rPr>
          <w:rFonts w:asciiTheme="minorHAnsi" w:eastAsiaTheme="minorHAnsi" w:hAnsiTheme="minorHAnsi"/>
          <w:color w:val="1C2330"/>
        </w:rPr>
        <w:t xml:space="preserve"> Gravity Ventures</w:t>
      </w:r>
      <w:r w:rsidRPr="00AB5563">
        <w:rPr>
          <w:rFonts w:asciiTheme="minorHAnsi" w:eastAsiaTheme="minorHAnsi" w:hAnsiTheme="minorHAnsi"/>
          <w:color w:val="475569"/>
        </w:rPr>
        <w:tab/>
      </w:r>
      <w:r w:rsidR="00AB5563" w:rsidRPr="00AB5563">
        <w:rPr>
          <w:rFonts w:asciiTheme="minorHAnsi" w:eastAsiaTheme="minorHAnsi" w:hAnsiTheme="minorHAnsi" w:hint="eastAsia"/>
          <w:color w:val="475569"/>
        </w:rPr>
        <w:t xml:space="preserve">  </w:t>
      </w:r>
      <w:r w:rsidRPr="00AB5563">
        <w:rPr>
          <w:rFonts w:asciiTheme="minorHAnsi" w:eastAsiaTheme="minorHAnsi" w:hAnsiTheme="minorHAnsi"/>
          <w:color w:val="475569"/>
        </w:rPr>
        <w:t>2026년 5월</w:t>
      </w:r>
    </w:p>
    <w:p w14:paraId="5B7B1DC8" w14:textId="77777777" w:rsidR="00AB5563" w:rsidRDefault="00AB5563">
      <w:pPr>
        <w:tabs>
          <w:tab w:val="right" w:pos="9026"/>
        </w:tabs>
        <w:spacing w:before="60" w:after="60" w:line="280" w:lineRule="auto"/>
        <w:rPr>
          <w:rFonts w:asciiTheme="minorHAnsi" w:eastAsiaTheme="minorHAnsi" w:hAnsiTheme="minorHAnsi"/>
          <w:b/>
          <w:bCs/>
          <w:color w:val="475569"/>
          <w:spacing w:val="60"/>
          <w:sz w:val="18"/>
          <w:szCs w:val="18"/>
        </w:rPr>
      </w:pPr>
    </w:p>
    <w:p w14:paraId="2E7884B6" w14:textId="03713A77" w:rsidR="00DF4202" w:rsidRPr="00AB5563" w:rsidRDefault="00000000">
      <w:pPr>
        <w:tabs>
          <w:tab w:val="right" w:pos="9026"/>
        </w:tabs>
        <w:spacing w:before="60" w:after="60" w:line="28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1C69D4"/>
          <w:spacing w:val="60"/>
          <w:sz w:val="18"/>
          <w:szCs w:val="18"/>
        </w:rPr>
        <w:tab/>
        <w:t>CONFIDENTIAL · INTERNAL</w:t>
      </w:r>
    </w:p>
    <w:p w14:paraId="6088045F" w14:textId="0ED7670D" w:rsidR="00DF4202" w:rsidRPr="00AB5563" w:rsidRDefault="00DF4202">
      <w:pPr>
        <w:rPr>
          <w:rFonts w:asciiTheme="minorHAnsi" w:eastAsiaTheme="minorHAnsi" w:hAnsiTheme="minorHAnsi"/>
        </w:rPr>
      </w:pPr>
    </w:p>
    <w:p w14:paraId="5D1C8A93" w14:textId="77777777" w:rsidR="00DF4202" w:rsidRPr="00AB5563" w:rsidRDefault="00000000">
      <w:pPr>
        <w:spacing w:before="24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1C69D4"/>
          <w:spacing w:val="80"/>
          <w:sz w:val="18"/>
          <w:szCs w:val="18"/>
        </w:rPr>
        <w:t>CONTENTS</w:t>
      </w:r>
    </w:p>
    <w:p w14:paraId="2AFD0FFB" w14:textId="77777777" w:rsidR="00DF4202" w:rsidRPr="00AB5563" w:rsidRDefault="00000000">
      <w:pPr>
        <w:pBdr>
          <w:bottom w:val="single" w:sz="18" w:space="0" w:color="1C69D4"/>
        </w:pBdr>
        <w:spacing w:after="240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  <w:sz w:val="36"/>
          <w:szCs w:val="36"/>
        </w:rPr>
        <w:t>목 차</w:t>
      </w:r>
    </w:p>
    <w:p>
      <w:pPr>
        <w:spacing w:after="40"/>
        <w:ind w:left="216"/>
      </w:pPr>
      <w:r>
        <w:rPr>
          <w:b w:val="0"/>
          <w:color w:val="0F2244"/>
          <w:sz w:val="20"/>
        </w:rPr>
        <w:t>Executive Summary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1. 전략 분석 프레임워크 — PESTEL · 3C · STP · Risk · Scenario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2. 신약개발과 비임상실험 — 기본 이해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3. 시장 패러다임 전환 — Why Now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4. 비임상 생태계 — 누가 무엇을 하는가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5. 비임상 대체기술 — OoC의 포지션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6. BioSpero 기술 차별성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7. 비즈니스 모델 — 하이브리드 구조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8. 3C/STP 기반 핵심고객 정의 — CRO인가, 화장품 제조사인가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9. PESTEL/STP 기반 글로벌 진출 전략 — 시장별 포지셔닝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10. SPI·IND 데이터 패키지 중심 5단계 진입 로드맵</w:t>
      </w:r>
    </w:p>
    <w:p>
      <w:pPr>
        <w:spacing w:after="40"/>
        <w:ind w:left="216"/>
      </w:pPr>
      <w:r>
        <w:rPr>
          <w:b w:val="0"/>
          <w:color w:val="667085"/>
          <w:sz w:val="20"/>
        </w:rPr>
        <w:t>11. Risk Matrix &amp; 투자 평가</w:t>
      </w:r>
    </w:p>
    <w:p>
      <w:pPr>
        <w:spacing w:after="40"/>
        <w:ind w:left="216"/>
      </w:pPr>
      <w:r>
        <w:rPr>
          <w:b w:val="0"/>
          <w:color w:val="0F2244"/>
          <w:sz w:val="20"/>
        </w:rPr>
        <w:t>부록 — 출처</w:t>
      </w:r>
    </w:p>
    <w:sdt>
      <w:sdtPr>
        <w:rPr>
          <w:rFonts w:asciiTheme="minorHAnsi" w:eastAsiaTheme="minorHAnsi" w:hAnsiTheme="minorHAnsi"/>
        </w:rPr>
        <w:alias w:val="Table of Contents"/>
        <w:id w:val="1942569353"/>
      </w:sdtPr>
      <w:sdtContent>
        <w:p w14:paraId="495ADD36" w14:textId="77777777" w:rsidR="00AB5563" w:rsidRPr="00AB5563" w:rsidRDefault="00000000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r w:rsidRPr="00AB5563">
            <w:rPr>
              <w:rFonts w:asciiTheme="minorHAnsi" w:eastAsiaTheme="minorHAnsi" w:hAnsiTheme="minorHAnsi"/>
            </w:rPr>
            <w:fldChar w:fldCharType="begin"/>
          </w:r>
          <w:r w:rsidRPr="00AB5563">
            <w:rPr>
              <w:rFonts w:asciiTheme="minorHAnsi" w:eastAsiaTheme="minorHAnsi" w:hAnsiTheme="minorHAnsi"/>
            </w:rPr>
            <w:instrText>TOC \h \o "1-2" \t "Heading 1,1,Heading 2,2"</w:instrText>
          </w:r>
          <w:r w:rsidRPr="00AB5563">
            <w:rPr>
              <w:rFonts w:asciiTheme="minorHAnsi" w:eastAsiaTheme="minorHAnsi" w:hAnsiTheme="minorHAnsi"/>
            </w:rPr>
            <w:fldChar w:fldCharType="separate"/>
          </w:r>
          <w:hyperlink w:anchor="_Toc229316835" w:history="1">
            <w:r w:rsidR="00AB5563" w:rsidRPr="00AB5563">
              <w:rPr>
                <w:rStyle w:val="a5"/>
                <w:rFonts w:asciiTheme="minorHAnsi" w:eastAsiaTheme="minorHAnsi" w:hAnsiTheme="minorHAnsi"/>
                <w:noProof/>
              </w:rPr>
              <w:t>Executive Summary</w:t>
            </w:r>
            <w:r w:rsidR="00AB5563" w:rsidRPr="00AB5563">
              <w:rPr>
                <w:rFonts w:asciiTheme="minorHAnsi" w:eastAsiaTheme="minorHAnsi" w:hAnsiTheme="minorHAnsi"/>
                <w:noProof/>
              </w:rPr>
              <w:tab/>
            </w:r>
            <w:r w:rsidR="00AB5563"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="00AB5563" w:rsidRPr="00AB5563">
              <w:rPr>
                <w:rFonts w:asciiTheme="minorHAnsi" w:eastAsiaTheme="minorHAnsi" w:hAnsiTheme="minorHAnsi"/>
                <w:noProof/>
              </w:rPr>
              <w:instrText xml:space="preserve"> PAGEREF _Toc229316835 \h </w:instrText>
            </w:r>
            <w:r w:rsidR="00AB5563" w:rsidRPr="00AB5563">
              <w:rPr>
                <w:rFonts w:asciiTheme="minorHAnsi" w:eastAsiaTheme="minorHAnsi" w:hAnsiTheme="minorHAnsi"/>
                <w:noProof/>
              </w:rPr>
            </w:r>
            <w:r w:rsidR="00AB5563"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="00AB5563" w:rsidRPr="00AB5563">
              <w:rPr>
                <w:rFonts w:asciiTheme="minorHAnsi" w:eastAsiaTheme="minorHAnsi" w:hAnsiTheme="minorHAnsi"/>
                <w:noProof/>
              </w:rPr>
              <w:t>4</w:t>
            </w:r>
            <w:r w:rsidR="00AB5563"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3DE52FF7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36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1. 신약개발과 비임상실험 — 기본 이해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_Toc229316836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1C6DFE49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37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1-1. 신약개발의 5단계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_Toc229316837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42C0EB0B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38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1-2. 비임상실험(Nonclinical Test)이란?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_Toc229316838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E05EB7F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39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2. 시장 패러다임 전환 — Why Now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_Toc229316839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4428538F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40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2-1. FDA Modernization Act 2.0 (2022.12)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_Toc229316840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5A1A687E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41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2-2. FDA 후속 조치 타임라인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_Toc229316841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422797EB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42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2-3. MFDS(식약처) 현황과 한·미 격차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_Toc229316842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3FBECAA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43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3. 비임상 생태계 — 누가 무엇을 하는가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_Toc229316843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2B2E483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44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3-1. 4개 플레이어와 역할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_Toc229316844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53F55C9E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45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3-2. 가치사슬과 돈의 흐름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_Toc229316845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6EEE9F3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46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3-3. CRO 시장 — 동물실험 의존도 현황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_Toc229316846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1691CCDF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47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4. 비임상 대체기술 — OoC의 포지션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_Toc229316847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11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26D4653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48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4-1. 6개 NAMs 기술 비교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_Toc229316848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11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52FCAA6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49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4-2. 시장 구조 — 3개 시장의 영구적 분업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_Toc229316849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11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57E1CBD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50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4-3. OoC가 약물 임상에 특화된 이유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_Toc229316850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11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2218815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51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5. BioSpero 기술 차별성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_Toc229316851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13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5B6E460C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52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5-1. 기업 개요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_Toc229316852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13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308231F3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53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5-2. 경쟁사 대비 핵심 수치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_Toc229316853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13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DC2FDDD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54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5-3. 적용 사례 (글로벌 파트너십 · IR 기준)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_Toc229316854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14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C91BECF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55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6. 비즈니스 모델 — 하이브리드 구조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_Toc229316855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4E51D587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56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6-1. 두 개의 축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_Toc229316856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34797D13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57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6-2. 6개 수익원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_Toc229316857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33C0245C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58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6-3. 매출 전망 (BioSpero IR 원문)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_Toc229316858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D3FAAD2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59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6-4. 투자 구조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_Toc229316859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16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3E892C7B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60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7. 핵심고객 정의 — CRO인가, 화장품 제조사인가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_Toc229316860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2F7C3DA1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61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7-1. 4개 고객군 비교 매트릭스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_Toc229316861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4C552640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62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7-2. 우선순위별 진입 전략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_Toc229316862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9A93A24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63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8. 글로벌 진출 전략 — 시장별 포지셔닝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_Toc229316863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C286F8F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64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8-1. 왜 미국 + 일본인가 — 전략 조합의 논리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_Toc229316864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64CC426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65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8-2. 미국 비임상 CRO 시장 — 규모 · 플레이어 · 진입 기회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_Toc229316865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19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2A0DC1BE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66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8-3. 일본 비임상 CRO 시장 — 규모 · 정책 · SPI 채널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_Toc229316866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21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CCE6AFD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67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8-4. 글로벌 OoC 경쟁사 매트릭스 — 누구와 싸우는가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_Toc229316867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22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45EB6B5D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68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8-5. BioSpero의 기술적 승산 — 3대 차별 포인트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_Toc229316868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23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382A793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69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8-6. 시장별 진입 시나리오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_Toc229316869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24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663959B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70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8-7. 일본 시장 — 가장 구체적인 시나리오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_Toc229316870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24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56F4807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71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8-8. 미국 전략 — 현지 거점과 파트너십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_Toc229316871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24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92B23F5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72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8-9. 유럽 전략 — 파트너십 기반 간접 진출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_Toc229316872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70F7208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73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8-10. 시장 규모 (TAM·SAM·SOM)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_Toc229316873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25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6965254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74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9. 5단계 진입 로드맵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_Toc229316874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26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FE14DE8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75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9-1. 5단계 진입 모델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_Toc229316875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26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176C4FB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76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9-2. 시기별 핵심 마일스톤 (2026~2029)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_Toc229316876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26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446F82DC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77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9-3. 핵심 KPI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_Toc229316877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26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4FC1C2D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78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10. 리스크 분석 &amp; 투자 평가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_Toc229316878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56D198A7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79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10-1. 리스크 매트릭스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_Toc229316879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41DA223F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80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10-2. 투자 종합 평가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_Toc229316880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860B415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81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10-3. 증명 포인트 — 투자자 관점 체크리스트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_Toc229316881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27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0E98ABB" w14:textId="77777777" w:rsidR="00AB5563" w:rsidRPr="00AB5563" w:rsidRDefault="00AB5563">
          <w:pPr>
            <w:pStyle w:val="11"/>
            <w:tabs>
              <w:tab w:val="right" w:leader="dot" w:pos="9350"/>
            </w:tabs>
            <w:rPr>
              <w:rFonts w:asciiTheme="minorHAnsi" w:eastAsiaTheme="minorHAnsi" w:hAnsiTheme="minorHAnsi"/>
              <w:noProof/>
            </w:rPr>
          </w:pPr>
          <w:hyperlink w:anchor="_Toc229316882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부록 — 분석 방법론과 출처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_Toc229316882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7A7C007F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83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A. 분석 방</w:t>
            </w:r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법</w:t>
            </w:r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론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_Toc229316883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022BFCCE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84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B. 주요 데이터 출처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_Toc229316884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6C8E1744" w14:textId="77777777" w:rsidR="00AB5563" w:rsidRPr="00AB5563" w:rsidRDefault="00AB5563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HAnsi" w:hAnsiTheme="minorHAnsi"/>
              <w:noProof/>
            </w:rPr>
          </w:pPr>
          <w:hyperlink w:anchor="_Toc229316885" w:history="1">
            <w:r w:rsidRPr="00AB5563">
              <w:rPr>
                <w:rStyle w:val="a5"/>
                <w:rFonts w:asciiTheme="minorHAnsi" w:eastAsiaTheme="minorHAnsi" w:hAnsiTheme="minorHAnsi"/>
                <w:noProof/>
              </w:rPr>
              <w:t>C. PubMed 실측 — 한국 OoC 연구 현황</w:t>
            </w:r>
            <w:r w:rsidRPr="00AB5563">
              <w:rPr>
                <w:rFonts w:asciiTheme="minorHAnsi" w:eastAsiaTheme="minorHAnsi" w:hAnsiTheme="minorHAnsi"/>
                <w:noProof/>
              </w:rPr>
              <w:tab/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begin"/>
            </w:r>
            <w:r w:rsidRPr="00AB5563">
              <w:rPr>
                <w:rFonts w:asciiTheme="minorHAnsi" w:eastAsiaTheme="minorHAnsi" w:hAnsiTheme="minorHAnsi"/>
                <w:noProof/>
              </w:rPr>
              <w:instrText xml:space="preserve"> PAGEREF _Toc229316885 \h </w:instrText>
            </w:r>
            <w:r w:rsidRPr="00AB5563">
              <w:rPr>
                <w:rFonts w:asciiTheme="minorHAnsi" w:eastAsiaTheme="minorHAnsi" w:hAnsiTheme="minorHAnsi"/>
                <w:noProof/>
              </w:rPr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separate"/>
            </w:r>
            <w:r w:rsidRPr="00AB5563">
              <w:rPr>
                <w:rFonts w:asciiTheme="minorHAnsi" w:eastAsiaTheme="minorHAnsi" w:hAnsiTheme="minorHAnsi"/>
                <w:noProof/>
              </w:rPr>
              <w:t>29</w:t>
            </w:r>
            <w:r w:rsidRPr="00AB5563">
              <w:rPr>
                <w:rFonts w:asciiTheme="minorHAnsi" w:eastAsiaTheme="minorHAnsi" w:hAnsiTheme="minorHAnsi"/>
                <w:noProof/>
              </w:rPr>
              <w:fldChar w:fldCharType="end"/>
            </w:r>
          </w:hyperlink>
        </w:p>
        <w:p w14:paraId="221F80E5" w14:textId="77777777" w:rsidR="00DF4202" w:rsidRPr="00AB5563" w:rsidRDefault="00000000">
          <w:pPr>
            <w:rPr>
              <w:rFonts w:asciiTheme="minorHAnsi" w:eastAsiaTheme="minorHAnsi" w:hAnsiTheme="minorHAnsi"/>
            </w:rPr>
          </w:pPr>
          <w:r w:rsidRPr="00AB5563">
            <w:rPr>
              <w:rFonts w:asciiTheme="minorHAnsi" w:eastAsiaTheme="minorHAnsi" w:hAnsiTheme="minorHAnsi"/>
            </w:rPr>
            <w:fldChar w:fldCharType="end"/>
          </w:r>
        </w:p>
      </w:sdtContent>
    </w:sdt>
    <w:p w14:paraId="2DA09EE5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05FC7888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0" w:name="_Toc229316835"/>
      <w:r w:rsidRPr="00AB5563">
        <w:rPr>
          <w:rFonts w:asciiTheme="minorHAnsi" w:eastAsiaTheme="minorHAnsi" w:hAnsiTheme="minorHAnsi"/>
        </w:rPr>
        <w:lastRenderedPageBreak/>
        <w:t>Executive Summary</w:t>
      </w:r>
      <w:bookmarkEnd w:id="0"/>
    </w:p>
    <w:p w14:paraId="41A8BBDE" w14:textId="77777777" w:rsidR="00DF4202" w:rsidRPr="00AB5563" w:rsidRDefault="00000000">
      <w:pPr>
        <w:spacing w:before="60" w:after="1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(주식회사 </w:t>
      </w:r>
      <w:proofErr w:type="spellStart"/>
      <w:r w:rsidRPr="00AB5563">
        <w:rPr>
          <w:rFonts w:asciiTheme="minorHAnsi" w:eastAsiaTheme="minorHAnsi" w:hAnsiTheme="minorHAnsi"/>
          <w:color w:val="1C2330"/>
        </w:rPr>
        <w:t>바이오스페로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)는 인체 </w:t>
      </w:r>
      <w:proofErr w:type="spellStart"/>
      <w:r w:rsidRPr="00AB5563">
        <w:rPr>
          <w:rFonts w:asciiTheme="minorHAnsi" w:eastAsiaTheme="minorHAnsi" w:hAnsiTheme="minorHAnsi"/>
          <w:color w:val="1C2330"/>
        </w:rPr>
        <w:t>장기칩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(Organ-on-Chip,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) 기반 비임상 시험 플랫폼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OrganXpert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>®</w:t>
      </w:r>
      <w:proofErr w:type="spellStart"/>
      <w:r w:rsidRPr="00AB5563">
        <w:rPr>
          <w:rFonts w:asciiTheme="minorHAnsi" w:eastAsiaTheme="minorHAnsi" w:hAnsiTheme="minorHAnsi"/>
          <w:color w:val="1C2330"/>
        </w:rPr>
        <w:t>를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개발한 한국 </w:t>
      </w:r>
      <w:proofErr w:type="spellStart"/>
      <w:r w:rsidRPr="00AB5563">
        <w:rPr>
          <w:rFonts w:asciiTheme="minorHAnsi" w:eastAsiaTheme="minorHAnsi" w:hAnsiTheme="minorHAnsi"/>
          <w:color w:val="1C2330"/>
        </w:rPr>
        <w:t>스타트업이다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. 본 보고서는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의 글로벌 진출 가능성을 비임상 시험 시장의 구조적 변화와 함께 분석하고, 일본·한국·미국·유럽 시장에 대한 단계별 진출 전략과 핵심고객 정의를 제안한다.</w:t>
      </w:r>
    </w:p>
    <w:p w14:paraId="013C11EA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핵심 결론</w:t>
      </w:r>
    </w:p>
    <w:p w14:paraId="7887DE73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시장 전환의 결정적 시그널 — </w:t>
      </w:r>
      <w:r w:rsidRPr="00AB5563">
        <w:rPr>
          <w:rFonts w:asciiTheme="minorHAnsi" w:eastAsiaTheme="minorHAnsi" w:hAnsiTheme="minorHAnsi"/>
          <w:color w:val="1C2330"/>
        </w:rPr>
        <w:t xml:space="preserve">FDA Modernization Act 2.0(2022)과 2026년 3월 NAMs 가이드라인은 1938년 이래 84년간 유지된 "동물실험 의무" 조항을 폐지했다. </w:t>
      </w:r>
      <w:proofErr w:type="spellStart"/>
      <w:r w:rsidRPr="00AB5563">
        <w:rPr>
          <w:rFonts w:asciiTheme="minorHAnsi" w:eastAsiaTheme="minorHAnsi" w:hAnsiTheme="minorHAnsi"/>
          <w:color w:val="1C2330"/>
        </w:rPr>
        <w:t>비임상실험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패러다임 자체가 바뀌고 있다.</w:t>
      </w:r>
    </w:p>
    <w:p w14:paraId="0F6DD492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b/>
          <w:bCs/>
          <w:color w:val="0F2244"/>
        </w:rPr>
        <w:t>BioSpero</w:t>
      </w:r>
      <w:proofErr w:type="spellEnd"/>
      <w:r w:rsidRPr="00AB5563">
        <w:rPr>
          <w:rFonts w:asciiTheme="minorHAnsi" w:eastAsiaTheme="minorHAnsi" w:hAnsiTheme="minorHAnsi"/>
          <w:b/>
          <w:bCs/>
          <w:color w:val="0F2244"/>
        </w:rPr>
        <w:t xml:space="preserve">의 기술 우위 — </w:t>
      </w:r>
      <w:r w:rsidRPr="00AB5563">
        <w:rPr>
          <w:rFonts w:asciiTheme="minorHAnsi" w:eastAsiaTheme="minorHAnsi" w:hAnsiTheme="minorHAnsi"/>
          <w:color w:val="1C2330"/>
        </w:rPr>
        <w:t xml:space="preserve">48mm² 배양 면적(경쟁사 대비 최대 25배), 3mL 배양액, 연동펌프 기반 </w:t>
      </w:r>
      <w:proofErr w:type="spellStart"/>
      <w:r w:rsidRPr="00AB5563">
        <w:rPr>
          <w:rFonts w:asciiTheme="minorHAnsi" w:eastAsiaTheme="minorHAnsi" w:hAnsiTheme="minorHAnsi"/>
          <w:color w:val="1C2330"/>
        </w:rPr>
        <w:t>순환식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구조 — </w:t>
      </w:r>
      <w:proofErr w:type="spellStart"/>
      <w:r w:rsidRPr="00AB5563">
        <w:rPr>
          <w:rFonts w:asciiTheme="minorHAnsi" w:eastAsiaTheme="minorHAnsi" w:hAnsiTheme="minorHAnsi"/>
          <w:color w:val="1C2330"/>
        </w:rPr>
        <w:t>다장기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확장이 가능한 유일한 한국 플레이어.</w:t>
      </w:r>
    </w:p>
    <w:p w14:paraId="0380AE8C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핵심고객은 CRO·화장품 제조사가 아닌 </w:t>
      </w:r>
      <w:r w:rsidRPr="00AB5563">
        <w:rPr>
          <w:rFonts w:asciiTheme="minorHAnsi" w:eastAsiaTheme="minorHAnsi" w:hAnsiTheme="minorHAnsi"/>
          <w:b/>
          <w:bCs/>
          <w:color w:val="E22718"/>
        </w:rPr>
        <w:t>제약사 R&amp;D 직판</w:t>
      </w:r>
      <w:r w:rsidRPr="00AB5563">
        <w:rPr>
          <w:rFonts w:asciiTheme="minorHAnsi" w:eastAsiaTheme="minorHAnsi" w:hAnsiTheme="minorHAnsi"/>
          <w:color w:val="1C2330"/>
        </w:rPr>
        <w:t xml:space="preserve"> — 일본 SPI 채널을 통한 </w:t>
      </w:r>
      <w:proofErr w:type="spellStart"/>
      <w:r w:rsidRPr="00AB5563">
        <w:rPr>
          <w:rFonts w:asciiTheme="minorHAnsi" w:eastAsiaTheme="minorHAnsi" w:hAnsiTheme="minorHAnsi"/>
          <w:color w:val="1C2330"/>
        </w:rPr>
        <w:t>Daiichi-Sankyo·Eisai·Astellas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직접 진입이 1순위. CRO는 한국 시장 한정 2순위. 화장품은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적합도 낮아 </w:t>
      </w:r>
      <w:proofErr w:type="spellStart"/>
      <w:r w:rsidRPr="00AB5563">
        <w:rPr>
          <w:rFonts w:asciiTheme="minorHAnsi" w:eastAsiaTheme="minorHAnsi" w:hAnsiTheme="minorHAnsi"/>
          <w:color w:val="1C2330"/>
        </w:rPr>
        <w:t>비핵심</w:t>
      </w:r>
      <w:proofErr w:type="spellEnd"/>
      <w:r w:rsidRPr="00AB5563">
        <w:rPr>
          <w:rFonts w:asciiTheme="minorHAnsi" w:eastAsiaTheme="minorHAnsi" w:hAnsiTheme="minorHAnsi"/>
          <w:color w:val="1C2330"/>
        </w:rPr>
        <w:t>.</w:t>
      </w:r>
    </w:p>
    <w:p w14:paraId="7AB4EB9A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5단계 진입 로드맵 — </w:t>
      </w:r>
      <w:r w:rsidRPr="00AB5563">
        <w:rPr>
          <w:rFonts w:asciiTheme="minorHAnsi" w:eastAsiaTheme="minorHAnsi" w:hAnsiTheme="minorHAnsi"/>
          <w:color w:val="1C2330"/>
        </w:rPr>
        <w:t xml:space="preserve">(1) 일본 SPI 독점 계약 → (2) 제약사 PoC → (3) 한국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BiolabXpert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CRO 서비스 → (4) </w:t>
      </w:r>
      <w:proofErr w:type="spellStart"/>
      <w:r w:rsidRPr="00AB5563">
        <w:rPr>
          <w:rFonts w:asciiTheme="minorHAnsi" w:eastAsiaTheme="minorHAnsi" w:hAnsiTheme="minorHAnsi"/>
          <w:color w:val="1C2330"/>
        </w:rPr>
        <w:t>Institut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</w:t>
      </w:r>
      <w:proofErr w:type="spellStart"/>
      <w:r w:rsidRPr="00AB5563">
        <w:rPr>
          <w:rFonts w:asciiTheme="minorHAnsi" w:eastAsiaTheme="minorHAnsi" w:hAnsiTheme="minorHAnsi"/>
          <w:color w:val="1C2330"/>
        </w:rPr>
        <w:t>Pasteur·BRUKER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유럽 파트너십 → (5) FDA ISTAND 진입을 통한 미국 시장 검증.</w:t>
      </w:r>
    </w:p>
    <w:p w14:paraId="09BF5C60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핵심 리스크 — </w:t>
      </w:r>
      <w:r w:rsidRPr="00AB5563">
        <w:rPr>
          <w:rFonts w:asciiTheme="minorHAnsi" w:eastAsiaTheme="minorHAnsi" w:hAnsiTheme="minorHAnsi"/>
          <w:color w:val="1C2330"/>
        </w:rPr>
        <w:t>11명 팀의 실행 역량 한계, FDA 인증 경로 공백, 매출 추정 공격성. 일본 SPI 계약 서명과 첫 IND 데이터 패키지 납품이 본 투자의 결정적 증명 포인트.</w:t>
      </w:r>
    </w:p>
    <w:p w14:paraId="0D4771DF" w14:textId="77777777" w:rsidR="00DF4202" w:rsidRPr="00AB5563" w:rsidRDefault="00DF4202">
      <w:pPr>
        <w:spacing w:before="120"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4202" w:rsidRPr="00AB5563" w14:paraId="4CD95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E824D3" w14:textId="35D6F62A" w:rsidR="00DF4202" w:rsidRPr="00AB5563" w:rsidRDefault="00000000" w:rsidP="00AB5563">
            <w:pPr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</w:rPr>
              <w:t>기술과 타이밍은 맞다. 일본 SPI 계약 + 첫 IND 데이터 납품이 투자의 핵심 증명 포인트다.</w:t>
            </w:r>
          </w:p>
        </w:tc>
      </w:tr>
    </w:tbl>
    <w:p w14:paraId="49022AC0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>
      <w:pPr>
        <w:pStyle w:val="1"/>
        <w:spacing w:after="120" w:line="276" w:lineRule="auto"/>
      </w:pPr>
      <w:r>
        <w:rPr>
          <w:b w:val="0"/>
          <w:color w:val="1C69D4"/>
        </w:rPr>
        <w:t>1. 전략 분석 프레임워크 — PESTEL · 3C · STP · Risk · Scenario</w:t>
      </w:r>
    </w:p>
    <w:p>
      <w:pPr>
        <w:spacing w:after="160" w:line="276" w:lineRule="auto" w:before="80"/>
        <w:ind w:left="173" w:right="115"/>
        <w:jc w:val="left"/>
        <w:shd w:fill="FCEEEE"/>
      </w:pPr>
      <w:r>
        <w:rPr>
          <w:b w:val="0"/>
        </w:rPr>
      </w:r>
      <w:r>
        <w:rPr>
          <w:b/>
          <w:color w:val="E22718"/>
          <w:sz w:val="21"/>
        </w:rPr>
        <w:t xml:space="preserve">개정 핵심 — </w:t>
      </w:r>
      <w:r>
        <w:rPr>
          <w:color w:val="0F2244"/>
          <w:sz w:val="20"/>
        </w:rPr>
        <w:t>BioSpero는 연구용 칩 제조사가 아니라, 신약개발사가 IND 전 독성·효능 리스크를 낮추기 위해 사용하는 대용량·순환식·서비스 결합형 OoC 비임상 검증 플랫폼으로 포지셔닝해야 한다.</w:t>
      </w:r>
    </w:p>
    <w:p>
      <w:pPr>
        <w:pStyle w:val="2"/>
        <w:spacing w:after="120" w:line="276" w:lineRule="auto"/>
      </w:pPr>
      <w:r>
        <w:rPr>
          <w:b w:val="0"/>
        </w:rPr>
        <w:t>1-1. 분석 프레임워크별 전략 결론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프레임워크</w:t>
            </w:r>
          </w:p>
        </w:tc>
        <w:tc>
          <w:tcPr>
            <w:tcW w:type="dxa" w:w="2376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5112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BioSpero 전략 결론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PESTEL</w:t>
            </w:r>
          </w:p>
        </w:tc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왜 지금 시장이 열리는가?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FDA·MFDS·PMDA/EU 규제 전환, 임상 실패 비용 상승, NAMs 확산이 OoC 수요를 만든다.</w:t>
            </w:r>
          </w:p>
        </w:tc>
      </w:tr>
      <w:tr>
        <w:tc>
          <w:tcPr>
            <w:tcW w:type="dxa" w:w="165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3C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회사·고객·경쟁 구도는?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BioSpero는 48mm²·3mL·순환식·Multi-OoC 강점이 있으나 Emulate 수준의 규제 레퍼런스는 아직 부족하다.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STP</w:t>
            </w:r>
          </w:p>
        </w:tc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누구를 먼저 공략할까?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1차 타깃은 일본 Big Pharma R&amp;D와 비임상 CRO, 2차는 미국 규제 데이터셋, 3차는 유럽 공동검증이다.</w:t>
            </w:r>
          </w:p>
        </w:tc>
      </w:tr>
      <w:tr>
        <w:tc>
          <w:tcPr>
            <w:tcW w:type="dxa" w:w="165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Risk Matrix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무엇이 실패 요인인가?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SPI 유상 PoC 전환, 재현성 SOP, 첫 IND 데이터 패키지, 규제 인정 경로가 핵심 리스크다.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상황별 대응은?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일본 선전환, 미국 규제 가속, 규제 지연, 글로벌 리더 아시아 진입, 인도/중동 급부상별 액션을 준비한다.</w:t>
            </w:r>
          </w:p>
        </w:tc>
      </w:tr>
    </w:tbl>
    <w:p>
      <w:pPr>
        <w:spacing w:after="120" w:line="276" w:lineRule="auto"/>
      </w:pPr>
      <w:r>
        <w:rPr>
          <w:b w:val="0"/>
        </w:rPr>
      </w:r>
    </w:p>
    <w:p>
      <w:pPr>
        <w:pStyle w:val="2"/>
        <w:spacing w:after="120" w:line="276" w:lineRule="auto"/>
      </w:pPr>
      <w:r>
        <w:rPr>
          <w:b w:val="0"/>
        </w:rPr>
        <w:t>1-2. PESTEL: 해외진출 타이밍과 국가 우선순위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608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핵심 변화</w:t>
            </w:r>
          </w:p>
        </w:tc>
        <w:tc>
          <w:tcPr>
            <w:tcW w:type="dxa" w:w="2880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전략적 의미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Political / Legal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FDA Modernization Act 2.0 이후 nonclinical tests 개념이 확장되고, MFDS도 MPS·세포기반시험 일부 허용을 시작했다.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미국은 규제 표준성, 한국은 데이터 생산기지로 설계한다.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Economic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신약 개발비와 임상 실패 비용이 커지며 전임상 CRO·비동물 대체시험 시장이 성장 중이다.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비용 절감보다 임상 실패를 줄이는 데이터 패키지에 지불의사가 생긴다.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Social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동물실험 윤리와 환자 맞춤형 의학 수요가 동시에 커지고 있다.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윤리 메시지는 보조 논리이고, 핵심은 human-relevant model이다.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Technological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오가노이드, MPS, in silico, AI 독성예측이 동시에 발전한다.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BioSpero는 2D/3D 스크리닝 이후 제출 전 검증 영역을 잡아야 한다.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Environmental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동물실험 축소와 실험 효율화는 ESG·윤리 연구 흐름과 연결된다.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유럽·화장품 시장에서는 보조 논리지만 1차 시장은 신약 비임상이다.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Regulatory Adoption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FDA ISTAND, Japan MPS Initiative, EU 대체시험 로드맵 등 채택 경로가 생기고 있다.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국가 우선순위는 규제 채택 가능성 × 상업 채널로 정한다.</w:t>
            </w:r>
          </w:p>
        </w:tc>
      </w:tr>
    </w:tbl>
    <w:p>
      <w:pPr>
        <w:spacing w:after="120" w:line="276" w:lineRule="auto"/>
      </w:pPr>
      <w:r>
        <w:rPr>
          <w:b w:val="0"/>
        </w:rPr>
      </w:r>
    </w:p>
    <w:p>
      <w:pPr>
        <w:spacing w:after="160" w:line="276" w:lineRule="auto" w:before="80"/>
        <w:ind w:left="173" w:right="115"/>
        <w:jc w:val="left"/>
        <w:shd w:fill="FCEEEE"/>
      </w:pPr>
      <w:r>
        <w:rPr>
          <w:b w:val="0"/>
        </w:rPr>
      </w:r>
      <w:r>
        <w:rPr>
          <w:b/>
          <w:color w:val="E22718"/>
          <w:sz w:val="21"/>
        </w:rPr>
        <w:t xml:space="preserve">PESTEL 결론 — </w:t>
      </w:r>
      <w:r>
        <w:rPr>
          <w:color w:val="0F2244"/>
          <w:sz w:val="20"/>
        </w:rPr>
        <w:t>진입 순서는 일본 → 미국 → 유럽이며, 인도·중동은 CRO 확장성 또는 국가주도 바이오 허브가 구체화될 때 24개월 이후 옵션으로 관리한다.</w:t>
      </w:r>
    </w:p>
    <w:p>
      <w:pPr>
        <w:pStyle w:val="2"/>
        <w:spacing w:after="120" w:line="276" w:lineRule="auto"/>
      </w:pPr>
      <w:r>
        <w:rPr>
          <w:b w:val="0"/>
        </w:rPr>
        <w:t>1-3. 3C: Company, Customer, Competitor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축</w:t>
            </w:r>
          </w:p>
        </w:tc>
        <w:tc>
          <w:tcPr>
            <w:tcW w:type="dxa" w:w="4464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분석</w:t>
            </w:r>
          </w:p>
        </w:tc>
        <w:tc>
          <w:tcPr>
            <w:tcW w:type="dxa" w:w="3024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전략 해석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Company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48mm² 배양면적, 3mL 배양액, 12개 칩 독립 제어, 연동펌프 기반 순환식 구조, Multi-OoC 확장성.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분석 가능한 시료량과 장기 안정성을 확보해 CRO 서비스·IND 데이터 패키지화에 유리하다.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Big Pharma R&amp;D와 비임상 CRO는 동물실험-임상 간 예측 불일치, DILI/심독성 실패, NAMs 서비스 차별화 니즈를 갖는다.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화장품·식품·화학보다 신약 비임상 의사결정 고객을 1차로 잡는다.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Competitor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Emulate는 FDA ISTAND 레퍼런스, MIMETAS는 고처리량, CN Bio/TissUse는 다장기 연구 기반을 보유한다.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정면 경쟁보다 일본·아시아 채널, 대용량 실험, CRO 서비스형 데이터라는 빈 공간을 선점한다.</w:t>
            </w:r>
          </w:p>
        </w:tc>
      </w:tr>
    </w:tbl>
    <w:p>
      <w:pPr>
        <w:spacing w:after="120" w:line="276" w:lineRule="auto"/>
      </w:pPr>
      <w:r>
        <w:rPr>
          <w:b w:val="0"/>
        </w:rPr>
      </w:r>
    </w:p>
    <w:p>
      <w:pPr>
        <w:pStyle w:val="2"/>
        <w:spacing w:after="120" w:line="276" w:lineRule="auto"/>
      </w:pPr>
      <w:r>
        <w:rPr>
          <w:b w:val="0"/>
        </w:rPr>
        <w:t>1-4. STP: 세그먼트와 포지셔닝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4320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구매 동기</w:t>
            </w:r>
          </w:p>
        </w:tc>
        <w:tc>
          <w:tcPr>
            <w:tcW w:type="dxa" w:w="2736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우선순위 / BM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일본 Big Pharma R&amp;D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임상 실패 리스크 절감, IND 전 데이터 보강, SPI 채널 기반 빠른 접근.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1순위. 유상 PoC → 반복 실험 → 장비·칩·분석서비스.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비임상 CRO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제약사 고객에게 차별화된 NAMs/OoC 서비스 제공.</w:t>
            </w:r>
          </w:p>
        </w:tc>
        <w:tc>
          <w:tcPr>
            <w:tcW w:type="dxa" w:w="273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1순위. 장비+소모품+공동서비스.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미국 CRO/학술병원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FDA-facing 데이터셋, ISTAND 진입 가능성, 논문·KOL 레퍼런스.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2순위. CHLA 등 PoC → CRO 파트너.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유럽 연구기관/장비 파트너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공동검증, 분석장비 연동, 질환모델 신뢰 확보.</w:t>
            </w:r>
          </w:p>
        </w:tc>
        <w:tc>
          <w:tcPr>
            <w:tcW w:type="dxa" w:w="273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3순위. Pasteur·BRUKER·Novalix 기반 검증.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인도/중동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CRO 확장성 또는 정부주도 바이오 허브 과제.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옵션. 직접 진출보다 현지 파트너 파일럿.</w:t>
            </w:r>
          </w:p>
        </w:tc>
      </w:tr>
    </w:tbl>
    <w:p>
      <w:pPr>
        <w:spacing w:after="120" w:line="276" w:lineRule="auto"/>
      </w:pPr>
      <w:r>
        <w:rPr>
          <w:b w:val="0"/>
        </w:rPr>
      </w:r>
    </w:p>
    <w:p>
      <w:pPr>
        <w:spacing w:after="160" w:line="276" w:lineRule="auto" w:before="80"/>
        <w:ind w:left="173" w:right="115"/>
        <w:jc w:val="left"/>
        <w:shd w:fill="EAF3FF"/>
      </w:pPr>
      <w:r>
        <w:rPr>
          <w:b w:val="0"/>
        </w:rPr>
      </w:r>
      <w:r>
        <w:rPr>
          <w:b/>
          <w:color w:val="1C69D4"/>
          <w:sz w:val="21"/>
        </w:rPr>
        <w:t xml:space="preserve">Positioning — </w:t>
      </w:r>
      <w:r>
        <w:rPr>
          <w:color w:val="0F2244"/>
          <w:sz w:val="20"/>
        </w:rPr>
        <w:t>BioSpero는 신약개발사가 IND 전 독성·효능 리스크를 줄이기 위해 사용하는 대용량·순환식·서비스 결합형 Organ-on-Chip 비임상 검증 플랫폼이다.</w:t>
      </w:r>
    </w:p>
    <w:p>
      <w:pPr>
        <w:pStyle w:val="2"/>
        <w:spacing w:after="120" w:line="276" w:lineRule="auto"/>
      </w:pPr>
      <w:r>
        <w:rPr>
          <w:b w:val="0"/>
        </w:rPr>
        <w:t>1-5. SPI와 국가별 실행전략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국가/권역</w:t>
            </w:r>
          </w:p>
        </w:tc>
        <w:tc>
          <w:tcPr>
            <w:tcW w:type="dxa" w:w="1944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전략 역할</w:t>
            </w:r>
          </w:p>
        </w:tc>
        <w:tc>
          <w:tcPr>
            <w:tcW w:type="dxa" w:w="4320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진입 방식</w:t>
            </w:r>
          </w:p>
        </w:tc>
        <w:tc>
          <w:tcPr>
            <w:tcW w:type="dxa" w:w="1728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핵심 KPI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일본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상업 레퍼런스 시장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SPI 독점 유통 → Top10 제약사 데모 → 유상 PoC → 장비/소모품 판매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SPI 계약, 유상 PoC 2건, 첫 반복 소모품 매출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미국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규제 표준성 시장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CHLA 등 연구 PoC → CRO 파트너 → FDA ISTAND/논문 기반 데이터 패키지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FDA-facing 데이터셋, CRO 파트너 1건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유럽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공동검증/장비 연동 시장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Institut Pasteur·BRUKER·Novalix 기반 질환모델 공동검증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공동논문/공동제품, EU 제약사 접점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한국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데이터 생산기지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BiolabXpert CRO 서비스로 국내 제약사 실험 데이터 축적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첫 IND 납품, SOP 표준화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인도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CRO 확장 옵션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Syngene/Aragen/Sai Life 등 CRO와 저비용 독성평가 서비스 파일럿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현지 CRO MoU, 간/독성 패키지 PoC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중동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정책주도 파일럿 옵션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Saudi/UAE 바이오 허브·병원·대학과 정부 과제형 데모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정부/병원 파일럿</w:t>
            </w:r>
          </w:p>
        </w:tc>
      </w:tr>
    </w:tbl>
    <w:p>
      <w:pPr>
        <w:spacing w:after="120" w:line="276" w:lineRule="auto"/>
      </w:pPr>
      <w:r>
        <w:rPr>
          <w:b w:val="0"/>
        </w:rPr>
      </w:r>
    </w:p>
    <w:p>
      <w:pPr>
        <w:pStyle w:val="2"/>
        <w:spacing w:after="120" w:line="276" w:lineRule="auto"/>
      </w:pPr>
      <w:r>
        <w:rPr>
          <w:b w:val="0"/>
        </w:rPr>
        <w:t>1-6. Risk Matrix와 Scenario 대응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1008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우선도</w:t>
            </w:r>
          </w:p>
        </w:tc>
        <w:tc>
          <w:tcPr>
            <w:tcW w:type="dxa" w:w="5688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관리 전략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규제 인정 지연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상</w:t>
            </w:r>
          </w:p>
        </w:tc>
        <w:tc>
          <w:tcPr>
            <w:tcW w:type="dxa" w:w="56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미국은 ISTAND 직접 진입보다 CRO/병원 데이터셋 축적을 선행한다.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일본 SPI 유상 전환 실패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상</w:t>
            </w:r>
          </w:p>
        </w:tc>
        <w:tc>
          <w:tcPr>
            <w:tcW w:type="dxa" w:w="568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pre-marketing 피드백을 가격·기능·SOP 기준으로 전환하고 유상 PoC 조건을 명확히 한다.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실험 재현성/표준화 부족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상</w:t>
            </w:r>
          </w:p>
        </w:tc>
        <w:tc>
          <w:tcPr>
            <w:tcW w:type="dxa" w:w="56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칩·펌프·분석 프로토콜 SOP와 QC 데이터를 보고서화한다.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BM 혼선: 장비 vs CRO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중</w:t>
            </w:r>
          </w:p>
        </w:tc>
        <w:tc>
          <w:tcPr>
            <w:tcW w:type="dxa" w:w="568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초기에는 서비스형으로 데이터 축적, 이후 장비+소모품 반복매출로 전환한다.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인도/중동 리소스 분산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중</w:t>
            </w:r>
          </w:p>
        </w:tc>
        <w:tc>
          <w:tcPr>
            <w:tcW w:type="dxa" w:w="56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직접 지사 설립이 아니라 현지 파트너 파일럿과 공동서비스 계약으로 옵션 행사한다.</w:t>
            </w:r>
          </w:p>
        </w:tc>
      </w:tr>
    </w:tbl>
    <w:p>
      <w:pPr>
        <w:spacing w:after="120" w:line="276" w:lineRule="auto"/>
      </w:pPr>
      <w:r>
        <w:rPr>
          <w:b w:val="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3528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발생 조건</w:t>
            </w:r>
          </w:p>
        </w:tc>
        <w:tc>
          <w:tcPr>
            <w:tcW w:type="dxa" w:w="3672"/>
            <w:vAlign w:val="center"/>
            <w:shd w:fill="0F2244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전략 액션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A. 일본 선전환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SPI 계약과 Top10 제약사 유상 PoC 전환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일본을 1차 매출시장으로 고정하고 현지 CS·소모품 반복매출 체계를 구축한다.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B. 미국 규제 가속</w:t>
            </w:r>
          </w:p>
        </w:tc>
        <w:tc>
          <w:tcPr>
            <w:tcW w:type="dxa" w:w="352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FDA NAMs/ISTAND 인정 사례 증가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미국 CRO/학술병원 파트너로 FDA-facing data package를 우선 생산한다.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C. 규제 지연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FDA/PMDA 채택 지연과 제약사 구매 지연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BiolabXpert 서비스형 BM으로 국내/일본 PoC 데이터를 축적한다.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D. 글로벌 리더 아시아 진입</w:t>
            </w:r>
          </w:p>
        </w:tc>
        <w:tc>
          <w:tcPr>
            <w:tcW w:type="dxa" w:w="3528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Emulate/MIMETAS의 일본·한국 직접 진입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가격 경쟁 대신 대용량·순환식·현지 CRO 서비스와 분석장비 연동으로 차별화한다.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sz w:val="17"/>
              </w:rPr>
              <w:t>E. 인도/중동 급부상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인도 CRO 또는 Saudi/UAE 정부 과제 연결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7"/>
              </w:rPr>
              <w:t>직접 진출보다 파트너 파일럿으로 옵션을 행사한다.</w:t>
            </w:r>
          </w:p>
        </w:tc>
      </w:tr>
    </w:tbl>
    <w:p>
      <w:pPr>
        <w:spacing w:after="120" w:line="276" w:lineRule="auto"/>
      </w:pPr>
      <w:r>
        <w:rPr>
          <w:b w:val="0"/>
        </w:rPr>
      </w:r>
    </w:p>
    <w:p>
      <w:pPr>
        <w:spacing w:after="160" w:line="276" w:lineRule="auto" w:before="80"/>
        <w:ind w:left="173" w:right="115"/>
        <w:jc w:val="left"/>
        <w:shd w:fill="FCEEEE"/>
      </w:pPr>
      <w:r>
        <w:rPr>
          <w:b w:val="0"/>
        </w:rPr>
      </w:r>
      <w:r>
        <w:rPr>
          <w:b/>
          <w:color w:val="E22718"/>
          <w:sz w:val="21"/>
        </w:rPr>
        <w:t xml:space="preserve">최종 증명 포인트 — </w:t>
      </w:r>
      <w:r>
        <w:rPr>
          <w:color w:val="0F2244"/>
          <w:sz w:val="20"/>
        </w:rPr>
        <w:t>투자 판단의 핵심은 좋은 칩이라는 설명이 아니라 SPI 유상 PoC, 첫 IND 데이터 패키지, 반복 소모품 매출이라는 세 가지 증거다.</w:t>
      </w:r>
    </w:p>
    <w:p w14:paraId="732EDAFE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1" w:name="_Toc229316836"/>
      <w:r w:rsidRPr="00AB5563">
        <w:rPr>
          <w:rFonts w:asciiTheme="minorHAnsi" w:eastAsiaTheme="minorHAnsi" w:hAnsiTheme="minorHAnsi"/>
        </w:rPr>
        <w:t>2. 신약개발과 비임상실험 — 기본 이해</w:t>
      </w:r>
      <w:proofErr w:type="spellStart"/>
      <w:r w:rsidRPr="00AB5563">
        <w:rPr>
          <w:rFonts w:asciiTheme="minorHAnsi" w:eastAsiaTheme="minorHAnsi" w:hAnsiTheme="minorHAnsi"/>
        </w:rPr>
      </w:r>
      <w:proofErr w:type="spellEnd"/>
      <w:r w:rsidRPr="00AB5563">
        <w:rPr>
          <w:rFonts w:asciiTheme="minorHAnsi" w:eastAsiaTheme="minorHAnsi" w:hAnsiTheme="minorHAnsi"/>
        </w:rPr>
      </w:r>
      <w:bookmarkEnd w:id="1"/>
    </w:p>
    <w:p w14:paraId="67943AE8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본 절은 </w:t>
      </w:r>
      <w:proofErr w:type="spellStart"/>
      <w:r w:rsidRPr="00AB5563">
        <w:rPr>
          <w:rFonts w:asciiTheme="minorHAnsi" w:eastAsiaTheme="minorHAnsi" w:hAnsiTheme="minorHAnsi"/>
          <w:color w:val="1C2330"/>
        </w:rPr>
        <w:t>비임상실험에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대한 사전 지식 없는 독자를 전제로 한다. 이후 모든 시장·전략 분석은 본 절의 정의를 기반으로 한다.</w:t>
      </w:r>
    </w:p>
    <w:p w14:paraId="3CA4C10E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2" w:name="_Toc229316837"/>
      <w:r w:rsidRPr="00AB5563">
        <w:rPr>
          <w:rFonts w:asciiTheme="minorHAnsi" w:eastAsiaTheme="minorHAnsi" w:hAnsiTheme="minorHAnsi"/>
        </w:rPr>
        <w:t>1-1. 신약개발의 5단계</w:t>
      </w:r>
      <w:bookmarkEnd w:id="2"/>
    </w:p>
    <w:p w14:paraId="178F09B5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신약 하나가 시장에 출시되기까지는 약 12년, 평균 15억 달러가 소요된다. 그 중 동물실험을 거쳐 사람 임상에 진입한 약물의 93%가 임상에서 실패한다.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5349"/>
        <w:gridCol w:w="1337"/>
      </w:tblGrid>
      <w:tr w:rsidR="00DF4202" w:rsidRPr="00AB5563" w14:paraId="7182D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4338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5349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8B20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주요 활동</w:t>
            </w:r>
          </w:p>
        </w:tc>
        <w:tc>
          <w:tcPr>
            <w:tcW w:w="133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2B26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소요 기간</w:t>
            </w:r>
          </w:p>
        </w:tc>
      </w:tr>
      <w:tr w:rsidR="00DF4202" w:rsidRPr="00AB5563" w14:paraId="3900A926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E0E2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① Discovery (후보 발굴)</w:t>
            </w:r>
          </w:p>
        </w:tc>
        <w:tc>
          <w:tcPr>
            <w:tcW w:w="534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2D9A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타깃 발굴, 화합물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스크리닝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, AI/in silico 적용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46E1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2–3년</w:t>
            </w:r>
          </w:p>
        </w:tc>
      </w:tr>
      <w:tr w:rsidR="00DF4202" w:rsidRPr="00AB5563" w14:paraId="66B06485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5D82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② Nonclinical (비임상)</w:t>
            </w:r>
          </w:p>
        </w:tc>
        <w:tc>
          <w:tcPr>
            <w:tcW w:w="534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1C5E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동물실험·세포실험으로 안전성·효능 검증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20D2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3–4년</w:t>
            </w:r>
          </w:p>
        </w:tc>
      </w:tr>
      <w:tr w:rsidR="00DF4202" w:rsidRPr="00AB5563" w14:paraId="478E2256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D25C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③ Clinical (사람 임상)</w:t>
            </w:r>
          </w:p>
        </w:tc>
        <w:tc>
          <w:tcPr>
            <w:tcW w:w="534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DEBA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Phase 1·2·3 — 안전성·효능·대규모 검증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6224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6–7년</w:t>
            </w:r>
          </w:p>
        </w:tc>
      </w:tr>
      <w:tr w:rsidR="00DF4202" w:rsidRPr="00AB5563" w14:paraId="628A4AD8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8129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④ Regulatory Review</w:t>
            </w:r>
          </w:p>
        </w:tc>
        <w:tc>
          <w:tcPr>
            <w:tcW w:w="534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DDA1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FDA/MFDS 심사 및 허가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35BE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1–2년</w:t>
            </w:r>
          </w:p>
        </w:tc>
      </w:tr>
      <w:tr w:rsidR="00DF4202" w:rsidRPr="00AB5563" w14:paraId="134D05BF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61FB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⑤ Market</w:t>
            </w:r>
          </w:p>
        </w:tc>
        <w:tc>
          <w:tcPr>
            <w:tcW w:w="534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B110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출시·시판 후 모니터링(Phase 4)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A500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지속</w:t>
            </w:r>
          </w:p>
        </w:tc>
      </w:tr>
    </w:tbl>
    <w:p w14:paraId="0CE224C4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" w:name="_Toc229316838"/>
      <w:r w:rsidRPr="00AB5563">
        <w:rPr>
          <w:rFonts w:asciiTheme="minorHAnsi" w:eastAsiaTheme="minorHAnsi" w:hAnsiTheme="minorHAnsi"/>
        </w:rPr>
        <w:t xml:space="preserve">1-2. </w:t>
      </w:r>
      <w:proofErr w:type="spellStart"/>
      <w:r w:rsidRPr="00AB5563">
        <w:rPr>
          <w:rFonts w:asciiTheme="minorHAnsi" w:eastAsiaTheme="minorHAnsi" w:hAnsiTheme="minorHAnsi"/>
        </w:rPr>
        <w:t>비임상실험</w:t>
      </w:r>
      <w:proofErr w:type="spellEnd"/>
      <w:r w:rsidRPr="00AB5563">
        <w:rPr>
          <w:rFonts w:asciiTheme="minorHAnsi" w:eastAsiaTheme="minorHAnsi" w:hAnsiTheme="minorHAnsi"/>
        </w:rPr>
        <w:t>(Nonclinical Test)이란?</w:t>
      </w:r>
      <w:bookmarkEnd w:id="3"/>
    </w:p>
    <w:p w14:paraId="5AA92567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사람에게 약을 투여하기 전, 약의 안전성과 효능을 동물 또는 세포·</w:t>
      </w:r>
      <w:proofErr w:type="spellStart"/>
      <w:r w:rsidRPr="00AB5563">
        <w:rPr>
          <w:rFonts w:asciiTheme="minorHAnsi" w:eastAsiaTheme="minorHAnsi" w:hAnsiTheme="minorHAnsi"/>
          <w:color w:val="1C2330"/>
        </w:rPr>
        <w:t>장기칩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등 비인간 실험계에서 확인하는 단계이다. FDA Modernization Act 2.0(2022) 이전까지 "비임상"은 사실상 "동물실험"과 동의어였다.</w:t>
      </w:r>
    </w:p>
    <w:p w14:paraId="260CD515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동물실험의 구조적 한계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0"/>
        <w:gridCol w:w="2080"/>
        <w:gridCol w:w="3120"/>
      </w:tblGrid>
      <w:tr w:rsidR="00DF4202" w:rsidRPr="00AB5563" w14:paraId="2DD61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7595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지표</w:t>
            </w:r>
          </w:p>
        </w:tc>
        <w:tc>
          <w:tcPr>
            <w:tcW w:w="208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B998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수치</w:t>
            </w:r>
          </w:p>
        </w:tc>
        <w:tc>
          <w:tcPr>
            <w:tcW w:w="312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E977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출처</w:t>
            </w:r>
          </w:p>
        </w:tc>
      </w:tr>
      <w:tr w:rsidR="00DF4202" w:rsidRPr="00AB5563" w14:paraId="6A0EF38D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A6C9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동물실험 통과 후 임상 실패율</w:t>
            </w:r>
          </w:p>
        </w:tc>
        <w:tc>
          <w:tcPr>
            <w:tcW w:w="20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58FF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93%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1A54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Shanks et al.</w:t>
            </w:r>
          </w:p>
        </w:tc>
      </w:tr>
      <w:tr w:rsidR="00DF4202" w:rsidRPr="00AB5563" w14:paraId="48743F8E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2691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신경계 질환 동물→인간 성공률</w:t>
            </w:r>
          </w:p>
        </w:tc>
        <w:tc>
          <w:tcPr>
            <w:tcW w:w="20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6CE1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약 6%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DBC7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 내부 통계</w:t>
            </w:r>
          </w:p>
        </w:tc>
      </w:tr>
      <w:tr w:rsidR="00DF4202" w:rsidRPr="00AB5563" w14:paraId="368975A8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6FD0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lastRenderedPageBreak/>
              <w:t>종양학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분야 성공률</w:t>
            </w:r>
          </w:p>
        </w:tc>
        <w:tc>
          <w:tcPr>
            <w:tcW w:w="20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5081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약 5%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38C4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 내부 통계</w:t>
            </w:r>
          </w:p>
        </w:tc>
      </w:tr>
      <w:tr w:rsidR="00DF4202" w:rsidRPr="00AB5563" w14:paraId="510D9E2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37D3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간독성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(DILI) 예측: 동물모델</w:t>
            </w:r>
          </w:p>
        </w:tc>
        <w:tc>
          <w:tcPr>
            <w:tcW w:w="20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81A0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0%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C217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Emulate 검증</w:t>
            </w:r>
          </w:p>
        </w:tc>
      </w:tr>
      <w:tr w:rsidR="00DF4202" w:rsidRPr="00AB5563" w14:paraId="4826389E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97E5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간독성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(DILI) 예측: Organ-Chip</w:t>
            </w:r>
          </w:p>
        </w:tc>
        <w:tc>
          <w:tcPr>
            <w:tcW w:w="20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165B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87%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8E71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Emulate 검증</w:t>
            </w:r>
          </w:p>
        </w:tc>
      </w:tr>
      <w:tr w:rsidR="00DF4202" w:rsidRPr="00AB5563" w14:paraId="14EC7888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6E86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신약 1건당 평균 비용</w:t>
            </w:r>
          </w:p>
        </w:tc>
        <w:tc>
          <w:tcPr>
            <w:tcW w:w="20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DA90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약 15억 달러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B536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Tufts CDD</w:t>
            </w:r>
          </w:p>
        </w:tc>
      </w:tr>
    </w:tbl>
    <w:p w14:paraId="4ED8BD84" w14:textId="77777777" w:rsidR="00DF4202" w:rsidRPr="00AB5563" w:rsidRDefault="00000000">
      <w:pPr>
        <w:spacing w:before="100" w:after="10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간독성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예측 정확도가 </w:t>
      </w:r>
      <w:r w:rsidRPr="00AB5563">
        <w:rPr>
          <w:rFonts w:asciiTheme="minorHAnsi" w:eastAsiaTheme="minorHAnsi" w:hAnsiTheme="minorHAnsi"/>
          <w:b/>
          <w:bCs/>
          <w:color w:val="1C2330"/>
        </w:rPr>
        <w:t>동물모델 0%에서 Organ-Chip 87%로 뛴 것이 핵심이다</w:t>
      </w:r>
      <w:r w:rsidRPr="00AB5563">
        <w:rPr>
          <w:rFonts w:asciiTheme="minorHAnsi" w:eastAsiaTheme="minorHAnsi" w:hAnsiTheme="minorHAnsi"/>
          <w:color w:val="1C2330"/>
        </w:rPr>
        <w:t>. "동물이 불쌍해서"가 아니라 "동물실험이 나쁜 과학(bad science)"이라는 인식 전환이 시장을 움직이고 있다.</w:t>
      </w:r>
    </w:p>
    <w:p w14:paraId="6BEB4F10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동인 구성비 — 의약품 vs 화장품</w:t>
      </w:r>
    </w:p>
    <w:p w14:paraId="3D44F80C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동물실험 대체의 실질 동인은 분야별로 완전히 다르다. 본 보고서가 주목하는 시장(의약품)에서 동물권은 핵심 동인이 아니다.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128"/>
        <w:gridCol w:w="2154"/>
        <w:gridCol w:w="2154"/>
        <w:gridCol w:w="1437"/>
        <w:gridCol w:w="1437"/>
        <w:gridCol w:w="25"/>
      </w:tblGrid>
      <w:tr w:rsidR="00DF4202" w:rsidRPr="00AB5563" w14:paraId="37B5B895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153" w:type="dxa"/>
            <w:gridSpan w:val="2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CB91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분야</w:t>
            </w:r>
          </w:p>
        </w:tc>
        <w:tc>
          <w:tcPr>
            <w:tcW w:w="215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604F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예측 정확도 한계</w:t>
            </w:r>
          </w:p>
        </w:tc>
        <w:tc>
          <w:tcPr>
            <w:tcW w:w="215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A695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비용 / 경제 압박</w:t>
            </w:r>
          </w:p>
        </w:tc>
        <w:tc>
          <w:tcPr>
            <w:tcW w:w="143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87CD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동물권</w:t>
            </w:r>
            <w:proofErr w:type="spellEnd"/>
          </w:p>
        </w:tc>
        <w:tc>
          <w:tcPr>
            <w:tcW w:w="143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8E63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규제 변화</w:t>
            </w:r>
          </w:p>
        </w:tc>
      </w:tr>
      <w:tr w:rsidR="00DF4202" w:rsidRPr="00AB5563" w14:paraId="6B885025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153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700B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의약품 / 신약</w:t>
            </w:r>
          </w:p>
        </w:tc>
        <w:tc>
          <w:tcPr>
            <w:tcW w:w="215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395D1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40%</w:t>
            </w:r>
          </w:p>
        </w:tc>
        <w:tc>
          <w:tcPr>
            <w:tcW w:w="215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7603F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35%</w:t>
            </w:r>
          </w:p>
        </w:tc>
        <w:tc>
          <w:tcPr>
            <w:tcW w:w="14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42B41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10%</w:t>
            </w:r>
          </w:p>
        </w:tc>
        <w:tc>
          <w:tcPr>
            <w:tcW w:w="14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C1257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15%</w:t>
            </w:r>
          </w:p>
        </w:tc>
      </w:tr>
      <w:tr w:rsidR="00DF4202" w:rsidRPr="00AB5563" w14:paraId="433BB35B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153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792A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화장품 / 소비재</w:t>
            </w:r>
          </w:p>
        </w:tc>
        <w:tc>
          <w:tcPr>
            <w:tcW w:w="215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1EA34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10%</w:t>
            </w:r>
          </w:p>
        </w:tc>
        <w:tc>
          <w:tcPr>
            <w:tcW w:w="215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2CF6B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10%</w:t>
            </w:r>
          </w:p>
        </w:tc>
        <w:tc>
          <w:tcPr>
            <w:tcW w:w="14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BFF62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60%</w:t>
            </w:r>
          </w:p>
        </w:tc>
        <w:tc>
          <w:tcPr>
            <w:tcW w:w="14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11F54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20%</w:t>
            </w:r>
          </w:p>
        </w:tc>
      </w:tr>
      <w:tr w:rsidR="00AB5563" w:rsidRPr="00AB5563" w14:paraId="02313484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335" w:type="dxa"/>
            <w:gridSpan w:val="6"/>
            <w:tcBorders>
              <w:top w:val="single" w:sz="4" w:space="0" w:color="E5EAF0"/>
              <w:left w:val="single" w:sz="4" w:space="0" w:color="FFFFFF" w:themeColor="background1"/>
              <w:bottom w:val="single" w:sz="4" w:space="0" w:color="E5EAF0"/>
              <w:right w:val="single" w:sz="4" w:space="0" w:color="FFFFFF" w:themeColor="backgroun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998F0" w14:textId="77777777" w:rsidR="00AB5563" w:rsidRDefault="00AB5563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</w:p>
          <w:p w14:paraId="2C0D39BB" w14:textId="77777777" w:rsidR="00AB5563" w:rsidRDefault="00AB5563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</w:p>
          <w:p w14:paraId="126C8F3B" w14:textId="77777777" w:rsidR="00AB5563" w:rsidRDefault="00AB5563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</w:p>
          <w:p w14:paraId="69BF8B2B" w14:textId="77777777" w:rsidR="00AB5563" w:rsidRDefault="00AB5563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</w:p>
          <w:p w14:paraId="744AEE6C" w14:textId="77777777" w:rsidR="00AB5563" w:rsidRDefault="00AB5563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</w:p>
          <w:p w14:paraId="3305D7B6" w14:textId="77777777" w:rsidR="00AB5563" w:rsidRPr="00AB5563" w:rsidRDefault="00AB5563">
            <w:pPr>
              <w:spacing w:line="280" w:lineRule="auto"/>
              <w:jc w:val="center"/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</w:pPr>
          </w:p>
        </w:tc>
      </w:tr>
      <w:tr w:rsidR="00DF4202" w:rsidRPr="00AB5563" w14:paraId="4B038E53" w14:textId="77777777" w:rsidTr="00AB5563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35" w:type="dxa"/>
            <w:gridSpan w:val="6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5C7BBB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핵심 시사점.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의 전략은 "동물실험 금지"라는 윤리 메시지가 아닌, "임상 실패율 93%를 줄이는 정확한 인체 모델"이라는 경제·과학 메시지로 설계되어야 한다.</w:t>
            </w:r>
          </w:p>
        </w:tc>
      </w:tr>
    </w:tbl>
    <w:p w14:paraId="6277D460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2A1B58FE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4" w:name="_Toc229316839"/>
      <w:r w:rsidRPr="00AB5563">
        <w:rPr>
          <w:rFonts w:asciiTheme="minorHAnsi" w:eastAsiaTheme="minorHAnsi" w:hAnsiTheme="minorHAnsi"/>
        </w:rPr>
        <w:t>3. 시장 패러다임 전환 — Why Now</w:t>
      </w:r>
      <w:bookmarkEnd w:id="4"/>
    </w:p>
    <w:p w14:paraId="7631D43F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5" w:name="_Toc229316840"/>
      <w:r w:rsidRPr="00AB5563">
        <w:rPr>
          <w:rFonts w:asciiTheme="minorHAnsi" w:eastAsiaTheme="minorHAnsi" w:hAnsiTheme="minorHAnsi"/>
        </w:rPr>
        <w:t>2-1. FDA Modernization Act 2.0 (2022.12)</w:t>
      </w:r>
      <w:bookmarkEnd w:id="5"/>
    </w:p>
    <w:p w14:paraId="70A87C21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84년간 유지된 의무 조항이 폐지되었다.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7805"/>
      </w:tblGrid>
      <w:tr w:rsidR="00DF4202" w:rsidRPr="00AB5563" w14:paraId="5F3539DF" w14:textId="77777777" w:rsidTr="00AB55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EF8F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780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1389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DF4202" w:rsidRPr="00AB5563" w14:paraId="3501D049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9F64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발의·통과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8F81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2022.09.29 상원 만장일치(Unanimous Consent) — 완전 초당파</w:t>
            </w:r>
          </w:p>
        </w:tc>
      </w:tr>
      <w:tr w:rsidR="00DF4202" w:rsidRPr="00AB5563" w14:paraId="2A8A3A35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0633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서명·법률화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A7DD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2022.12.29</w:t>
            </w:r>
          </w:p>
        </w:tc>
      </w:tr>
      <w:tr w:rsidR="00DF4202" w:rsidRPr="00AB5563" w14:paraId="66D60322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7D75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개정 전 표현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C5D5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preclinical tests (including tests on animals)</w:t>
            </w:r>
          </w:p>
        </w:tc>
      </w:tr>
      <w:tr w:rsidR="00DF4202" w:rsidRPr="00AB5563" w14:paraId="28EF246E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32D7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개정 후 표현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3AFE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nonclinical tests — in vitro · in silico · MPS · Organ-on-a-chip 명시</w:t>
            </w:r>
          </w:p>
        </w:tc>
      </w:tr>
      <w:tr w:rsidR="00DF4202" w:rsidRPr="00AB5563" w14:paraId="06CFF22A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553B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법적 의미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98FD1" w14:textId="77777777" w:rsidR="00AB5563" w:rsidRDefault="00000000">
            <w:pPr>
              <w:spacing w:line="280" w:lineRule="auto"/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동물실험 금지가 아닌, 동물실험 없이도 IND 제출 가능 </w:t>
            </w:r>
          </w:p>
          <w:p w14:paraId="5978B54B" w14:textId="09AB1C4E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— 1938년 이래 84년만의 변화</w:t>
            </w:r>
          </w:p>
        </w:tc>
      </w:tr>
    </w:tbl>
    <w:p w14:paraId="7289E8A8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6" w:name="_Toc229316841"/>
      <w:r w:rsidRPr="00AB5563">
        <w:rPr>
          <w:rFonts w:asciiTheme="minorHAnsi" w:eastAsiaTheme="minorHAnsi" w:hAnsiTheme="minorHAnsi"/>
        </w:rPr>
        <w:t>2-2. FDA 후속 조치 타임라인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7805"/>
      </w:tblGrid>
      <w:tr w:rsidR="00DF4202" w:rsidRPr="00AB5563" w14:paraId="705C36F0" w14:textId="77777777" w:rsidTr="00AB55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F661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날짜</w:t>
            </w:r>
          </w:p>
        </w:tc>
        <w:tc>
          <w:tcPr>
            <w:tcW w:w="780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CAAA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DF4202" w:rsidRPr="00AB5563" w14:paraId="2D9E79B1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486B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2025.04.10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0886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mAb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동물실험 단계적 폐지 로드맵 발표 (Commissioner Makary)</w:t>
            </w:r>
          </w:p>
        </w:tc>
      </w:tr>
      <w:tr w:rsidR="00DF4202" w:rsidRPr="00AB5563" w14:paraId="148D504B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F48B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2025.12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4ED3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비인간 영장류 시험 축소 가이드라인 초안</w:t>
            </w:r>
          </w:p>
        </w:tc>
      </w:tr>
      <w:tr w:rsidR="00DF4202" w:rsidRPr="00AB5563" w14:paraId="095CD4DE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E03A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2026.03.18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EA5D6" w14:textId="4CA5BB9C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NAMs(New Approach Methodologies) 검증 가이드라인 초안 발표</w:t>
            </w:r>
            <w:r w:rsidR="00AB5563">
              <w:rPr>
                <w:rFonts w:asciiTheme="minorHAnsi" w:eastAsiaTheme="minorHAnsi" w:hAnsiTheme="minorHAnsi" w:hint="eastAsia"/>
                <w:b/>
                <w:bCs/>
                <w:color w:val="E22718"/>
                <w:sz w:val="20"/>
                <w:szCs w:val="20"/>
              </w:rPr>
              <w:t>,</w:t>
            </w: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4대 원칙 정의</w:t>
            </w:r>
          </w:p>
        </w:tc>
      </w:tr>
    </w:tbl>
    <w:p w14:paraId="495EFF1F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FDA NAMs 4대 검증 원칙 (2026.03)</w:t>
      </w:r>
    </w:p>
    <w:p w14:paraId="5C6E241F" w14:textId="77777777" w:rsidR="00DF4202" w:rsidRPr="00AB5563" w:rsidRDefault="00000000">
      <w:pPr>
        <w:pStyle w:val="a4"/>
        <w:numPr>
          <w:ilvl w:val="0"/>
          <w:numId w:val="3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Context of Use — NAMs의 규제 목적 명확히 정의</w:t>
      </w:r>
    </w:p>
    <w:p w14:paraId="086CADA1" w14:textId="77777777" w:rsidR="00DF4202" w:rsidRPr="00AB5563" w:rsidRDefault="00000000">
      <w:pPr>
        <w:pStyle w:val="a4"/>
        <w:numPr>
          <w:ilvl w:val="0"/>
          <w:numId w:val="3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Human Biological Relevance — 인체 독성 평가 가능성 입증</w:t>
      </w:r>
    </w:p>
    <w:p w14:paraId="4C4DB056" w14:textId="77777777" w:rsidR="00DF4202" w:rsidRPr="00AB5563" w:rsidRDefault="00000000">
      <w:pPr>
        <w:pStyle w:val="a4"/>
        <w:numPr>
          <w:ilvl w:val="0"/>
          <w:numId w:val="3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Technical Characterization — 재현 가능하고 신뢰할 수 있는 방법론</w:t>
      </w:r>
    </w:p>
    <w:p w14:paraId="5B72AB95" w14:textId="77777777" w:rsidR="00DF4202" w:rsidRPr="00AB5563" w:rsidRDefault="00000000">
      <w:pPr>
        <w:pStyle w:val="a4"/>
        <w:numPr>
          <w:ilvl w:val="0"/>
          <w:numId w:val="3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Fit-for-Purpose — 실제 규제 의사결정 기여 가능성</w:t>
      </w:r>
    </w:p>
    <w:p w14:paraId="592D52E3" w14:textId="77777777" w:rsidR="00DF4202" w:rsidRPr="00AB5563" w:rsidRDefault="00000000">
      <w:pPr>
        <w:spacing w:before="10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1C2330"/>
        </w:rPr>
        <w:lastRenderedPageBreak/>
        <w:t>FDA가 공식적으로 인정한 NAMs 기술 목록에 Organ-on-a-chip이 명시</w:t>
      </w:r>
      <w:r w:rsidRPr="00AB5563">
        <w:rPr>
          <w:rFonts w:asciiTheme="minorHAnsi" w:eastAsiaTheme="minorHAnsi" w:hAnsiTheme="minorHAnsi"/>
          <w:color w:val="1C2330"/>
        </w:rPr>
        <w:t>되어 있다. ISTAND 프로그램에는 Emulate Liver-Chip이 2024년 Letter of Intent</w:t>
      </w:r>
      <w:proofErr w:type="spellStart"/>
      <w:r w:rsidRPr="00AB5563">
        <w:rPr>
          <w:rFonts w:asciiTheme="minorHAnsi" w:eastAsiaTheme="minorHAnsi" w:hAnsiTheme="minorHAnsi"/>
          <w:color w:val="1C2330"/>
        </w:rPr>
        <w:t>를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받아 Qualification Plan 단계에 진입했고, 한국 </w:t>
      </w:r>
      <w:proofErr w:type="spellStart"/>
      <w:r w:rsidRPr="00AB5563">
        <w:rPr>
          <w:rFonts w:asciiTheme="minorHAnsi" w:eastAsiaTheme="minorHAnsi" w:hAnsiTheme="minorHAnsi"/>
          <w:color w:val="1C2330"/>
        </w:rPr>
        <w:t>오가노이드사이언스가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ISTAND 약물흡수도 시험법을 제출했다.</w:t>
      </w:r>
    </w:p>
    <w:p w14:paraId="3AD1AD8D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7" w:name="_Toc229316842"/>
      <w:r w:rsidRPr="00AB5563">
        <w:rPr>
          <w:rFonts w:asciiTheme="minorHAnsi" w:eastAsiaTheme="minorHAnsi" w:hAnsiTheme="minorHAnsi"/>
        </w:rPr>
        <w:t>2-3. MFDS(</w:t>
      </w:r>
      <w:proofErr w:type="spellStart"/>
      <w:r w:rsidRPr="00AB5563">
        <w:rPr>
          <w:rFonts w:asciiTheme="minorHAnsi" w:eastAsiaTheme="minorHAnsi" w:hAnsiTheme="minorHAnsi"/>
        </w:rPr>
        <w:t>식약처</w:t>
      </w:r>
      <w:proofErr w:type="spellEnd"/>
      <w:r w:rsidRPr="00AB5563">
        <w:rPr>
          <w:rFonts w:asciiTheme="minorHAnsi" w:eastAsiaTheme="minorHAnsi" w:hAnsiTheme="minorHAnsi"/>
        </w:rPr>
        <w:t>) 현황과 한·미 격차</w:t>
      </w:r>
      <w:bookmarkEnd w:id="7"/>
    </w:p>
    <w:p w14:paraId="18FBC0F5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한국도 2023년 의약품 품목허가 규정을 개정해 비임상 </w:t>
      </w:r>
      <w:proofErr w:type="spellStart"/>
      <w:r w:rsidRPr="00AB5563">
        <w:rPr>
          <w:rFonts w:asciiTheme="minorHAnsi" w:eastAsiaTheme="minorHAnsi" w:hAnsiTheme="minorHAnsi"/>
          <w:color w:val="1C2330"/>
        </w:rPr>
        <w:t>안전성약리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3개 항목(중추신경계·심혈관계·호흡기계)</w:t>
      </w:r>
      <w:proofErr w:type="spellStart"/>
      <w:r w:rsidRPr="00AB5563">
        <w:rPr>
          <w:rFonts w:asciiTheme="minorHAnsi" w:eastAsiaTheme="minorHAnsi" w:hAnsiTheme="minorHAnsi"/>
          <w:color w:val="1C2330"/>
        </w:rPr>
        <w:t>에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대해 세포기반·MPS·</w:t>
      </w:r>
      <w:proofErr w:type="spellStart"/>
      <w:r w:rsidRPr="00AB5563">
        <w:rPr>
          <w:rFonts w:asciiTheme="minorHAnsi" w:eastAsiaTheme="minorHAnsi" w:hAnsiTheme="minorHAnsi"/>
          <w:color w:val="1C2330"/>
        </w:rPr>
        <w:t>바이오프린팅</w:t>
      </w:r>
      <w:proofErr w:type="spellEnd"/>
      <w:r w:rsidRPr="00AB5563">
        <w:rPr>
          <w:rFonts w:asciiTheme="minorHAnsi" w:eastAsiaTheme="minorHAnsi" w:hAnsiTheme="minorHAnsi"/>
          <w:color w:val="1C2330"/>
        </w:rPr>
        <w:t>·컴퓨터모델링을 허용한다. 단, 활용 실적은 사실상 전무하다.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127"/>
        <w:gridCol w:w="2874"/>
        <w:gridCol w:w="2873"/>
        <w:gridCol w:w="1436"/>
        <w:gridCol w:w="25"/>
      </w:tblGrid>
      <w:tr w:rsidR="00DF4202" w:rsidRPr="00AB5563" w14:paraId="033E62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160" w:type="dxa"/>
            <w:gridSpan w:val="2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63C7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288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A635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미국 (FDA)</w:t>
            </w:r>
          </w:p>
        </w:tc>
        <w:tc>
          <w:tcPr>
            <w:tcW w:w="288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0FC3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한국 (MFDS)</w:t>
            </w:r>
          </w:p>
        </w:tc>
        <w:tc>
          <w:tcPr>
            <w:tcW w:w="144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858A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격차</w:t>
            </w:r>
          </w:p>
        </w:tc>
      </w:tr>
      <w:tr w:rsidR="00DF4202" w:rsidRPr="00AB5563" w14:paraId="243CC7F4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rHeight w:val="807"/>
        </w:trPr>
        <w:tc>
          <w:tcPr>
            <w:tcW w:w="21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C566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법적 근거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C435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 Modernization Act 2.0 (2022)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FD30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의약품 품목허가 규정 개정 (2023)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FCF9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1년</w:t>
            </w:r>
          </w:p>
        </w:tc>
      </w:tr>
      <w:tr w:rsidR="00DF4202" w:rsidRPr="00AB5563" w14:paraId="55E8FF5B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rHeight w:val="807"/>
        </w:trPr>
        <w:tc>
          <w:tcPr>
            <w:tcW w:w="21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F902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허용 범위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A81C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전체 IND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에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NAMs 가능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0DBE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안전성약리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3개 항목만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0DA0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큼</w:t>
            </w:r>
          </w:p>
        </w:tc>
      </w:tr>
      <w:tr w:rsidR="00DF4202" w:rsidRPr="00AB5563" w14:paraId="19E10C5A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rHeight w:val="807"/>
        </w:trPr>
        <w:tc>
          <w:tcPr>
            <w:tcW w:w="21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9248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구체 가이드라인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BC43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4대 원칙 (2026.03)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30BA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없음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3F7A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큼</w:t>
            </w:r>
          </w:p>
        </w:tc>
      </w:tr>
      <w:tr w:rsidR="00DF4202" w:rsidRPr="00AB5563" w14:paraId="6270FD87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rHeight w:val="807"/>
        </w:trPr>
        <w:tc>
          <w:tcPr>
            <w:tcW w:w="21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3992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파일럿 프로그램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68F4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ISTAND 운영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3A68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없음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78B8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큼</w:t>
            </w:r>
          </w:p>
        </w:tc>
      </w:tr>
      <w:tr w:rsidR="00DF4202" w:rsidRPr="00AB5563" w14:paraId="5BA82EAE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rHeight w:val="807"/>
        </w:trPr>
        <w:tc>
          <w:tcPr>
            <w:tcW w:w="21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B208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실제 사용 사례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A9D0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Emulate ISTAND 진입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6D6C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전무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B7EB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결정적</w:t>
            </w:r>
          </w:p>
        </w:tc>
      </w:tr>
      <w:tr w:rsidR="00DF4202" w:rsidRPr="00AB5563" w14:paraId="08AC570A" w14:textId="77777777" w:rsidTr="00AB556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rHeight w:val="807"/>
        </w:trPr>
        <w:tc>
          <w:tcPr>
            <w:tcW w:w="21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3B61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전환 예상 시점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D1A8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2027~2030</w:t>
            </w:r>
          </w:p>
        </w:tc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03B5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2030~2035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0265B" w14:textId="7F2DC5A3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3~5년 지연</w:t>
            </w:r>
          </w:p>
        </w:tc>
      </w:tr>
      <w:tr w:rsidR="00DF4202" w:rsidRPr="00AB5563" w14:paraId="00902BC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5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93D646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Why Now. </w:t>
            </w:r>
            <w:r w:rsidRPr="00AB5563">
              <w:rPr>
                <w:rFonts w:asciiTheme="minorHAnsi" w:eastAsiaTheme="minorHAnsi" w:hAnsiTheme="minorHAnsi"/>
                <w:color w:val="1C2330"/>
              </w:rPr>
              <w:t xml:space="preserve">미국 규제는 이미 열렸고 가이드라인이 명확해지는 2026년부터 본격 채택이 시작된다. 한국 시장은 3~5년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후행하지만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K-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오가노이드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컨소시엄·WC14(2027 서울) 개최로 가이드라인 설계 참여 기회 존재. 지금이 기술 검증·레퍼런스 축적의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골든타임이다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.</w:t>
            </w:r>
          </w:p>
        </w:tc>
      </w:tr>
    </w:tbl>
    <w:p w14:paraId="35EB22F1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18A84841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8" w:name="_Toc229316843"/>
      <w:r w:rsidRPr="00AB5563">
        <w:rPr>
          <w:rFonts w:asciiTheme="minorHAnsi" w:eastAsiaTheme="minorHAnsi" w:hAnsiTheme="minorHAnsi"/>
        </w:rPr>
        <w:t>4. 비임상 생태계 — 누가 무엇을 하는가</w:t>
      </w:r>
      <w:bookmarkEnd w:id="8"/>
    </w:p>
    <w:p w14:paraId="0AE8963F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비임상 시장에는 4개의 주요 플레이어 군이 있다.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는 "비임상 기술기업(TECH)" 위치에서 CRO·제약사가 실험에 사용하는 장비·플랫폼을 공급한다.</w:t>
      </w:r>
    </w:p>
    <w:p w14:paraId="17D89DF2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9" w:name="_Toc229316844"/>
      <w:r w:rsidRPr="00AB5563">
        <w:rPr>
          <w:rFonts w:asciiTheme="minorHAnsi" w:eastAsiaTheme="minorHAnsi" w:hAnsiTheme="minorHAnsi"/>
        </w:rPr>
        <w:t>3-1. 4개 플레이어와 역할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226"/>
        <w:gridCol w:w="2127"/>
        <w:gridCol w:w="2135"/>
      </w:tblGrid>
      <w:tr w:rsidR="00DF4202" w:rsidRPr="00AB5563" w14:paraId="50CB259F" w14:textId="77777777" w:rsidTr="00AB55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0031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플레이어</w:t>
            </w:r>
          </w:p>
        </w:tc>
        <w:tc>
          <w:tcPr>
            <w:tcW w:w="322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3495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역할</w:t>
            </w:r>
          </w:p>
        </w:tc>
        <w:tc>
          <w:tcPr>
            <w:tcW w:w="212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1937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비유 (혈액검사)</w:t>
            </w:r>
          </w:p>
        </w:tc>
        <w:tc>
          <w:tcPr>
            <w:tcW w:w="213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2A4D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대표 기업</w:t>
            </w:r>
          </w:p>
        </w:tc>
      </w:tr>
      <w:tr w:rsidR="00DF4202" w:rsidRPr="00AB5563" w14:paraId="26A25DDC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4BF1E" w14:textId="77777777" w:rsidR="00AB5563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제약사 </w:t>
            </w:r>
          </w:p>
          <w:p w14:paraId="1C6F2A4B" w14:textId="711B8972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(Pharma)</w:t>
            </w:r>
          </w:p>
        </w:tc>
        <w:tc>
          <w:tcPr>
            <w:tcW w:w="322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63771" w14:textId="1F71A1C6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신약 기획·자금·판매 (실험 외주)</w:t>
            </w:r>
          </w:p>
        </w:tc>
        <w:tc>
          <w:tcPr>
            <w:tcW w:w="212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9CCBB" w14:textId="739B1496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환자 (검사 의뢰)</w:t>
            </w:r>
          </w:p>
        </w:tc>
        <w:tc>
          <w:tcPr>
            <w:tcW w:w="213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F23B9" w14:textId="77777777" w:rsidR="00AB5563" w:rsidRDefault="00000000">
            <w:pPr>
              <w:spacing w:line="280" w:lineRule="auto"/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Pfizer · Roche </w:t>
            </w:r>
          </w:p>
          <w:p w14:paraId="27B00451" w14:textId="1A03FC9F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· 한미약품 · 유한양행</w:t>
            </w:r>
          </w:p>
        </w:tc>
      </w:tr>
      <w:tr w:rsidR="00DF4202" w:rsidRPr="00AB5563" w14:paraId="6DAF1030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790D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CRO</w:t>
            </w:r>
          </w:p>
        </w:tc>
        <w:tc>
          <w:tcPr>
            <w:tcW w:w="322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D8D9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실험 외주 수행 (장비 구매·운영)</w:t>
            </w:r>
          </w:p>
        </w:tc>
        <w:tc>
          <w:tcPr>
            <w:tcW w:w="212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D6D6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병원 / 검사실</w:t>
            </w:r>
          </w:p>
        </w:tc>
        <w:tc>
          <w:tcPr>
            <w:tcW w:w="213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4B0B7" w14:textId="77777777" w:rsidR="00AB5563" w:rsidRDefault="00000000">
            <w:pPr>
              <w:spacing w:line="280" w:lineRule="auto"/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Charles River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Labcorp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</w:t>
            </w:r>
          </w:p>
          <w:p w14:paraId="7C4B3EA4" w14:textId="480A4061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· KNOTUS · KCR</w:t>
            </w:r>
          </w:p>
        </w:tc>
      </w:tr>
      <w:tr w:rsidR="00DF4202" w:rsidRPr="00AB5563" w14:paraId="1267D09A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CEFF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비임상 기술기업 (TECH)</w:t>
            </w:r>
          </w:p>
        </w:tc>
        <w:tc>
          <w:tcPr>
            <w:tcW w:w="322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AC92B" w14:textId="77777777" w:rsidR="00AB5563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장비·칩·플랫폼 제공 </w:t>
            </w:r>
          </w:p>
          <w:p w14:paraId="3B5E60D9" w14:textId="3C86CB8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—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위치</w:t>
            </w:r>
          </w:p>
        </w:tc>
        <w:tc>
          <w:tcPr>
            <w:tcW w:w="212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62C6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검사 장비 제조사</w:t>
            </w:r>
          </w:p>
        </w:tc>
        <w:tc>
          <w:tcPr>
            <w:tcW w:w="213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1BDB7" w14:textId="32812205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Emulate · MIMETAS ·</w:t>
            </w:r>
            <w:r w:rsidR="00AB5563">
              <w:rPr>
                <w:rFonts w:asciiTheme="minorHAnsi" w:eastAsiaTheme="minorHAnsi" w:hAnsiTheme="minorHAnsi" w:hint="eastAsia"/>
                <w:b/>
                <w:bCs/>
                <w:color w:val="E22718"/>
                <w:sz w:val="20"/>
                <w:szCs w:val="20"/>
              </w:rPr>
              <w:t xml:space="preserve">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★</w:t>
            </w:r>
          </w:p>
        </w:tc>
      </w:tr>
      <w:tr w:rsidR="00DF4202" w:rsidRPr="00AB5563" w14:paraId="43499447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A637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규제기관</w:t>
            </w:r>
          </w:p>
        </w:tc>
        <w:tc>
          <w:tcPr>
            <w:tcW w:w="322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7671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시험법 인증·신약 허가</w:t>
            </w:r>
          </w:p>
        </w:tc>
        <w:tc>
          <w:tcPr>
            <w:tcW w:w="212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A851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보건당국 · 인증기관</w:t>
            </w:r>
          </w:p>
        </w:tc>
        <w:tc>
          <w:tcPr>
            <w:tcW w:w="213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FC15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FDA(미국) · MFDS(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식약처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) · PMDA · EMA</w:t>
            </w:r>
          </w:p>
        </w:tc>
      </w:tr>
    </w:tbl>
    <w:p w14:paraId="78CA47EC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10" w:name="_Toc229316845"/>
      <w:r w:rsidRPr="00AB5563">
        <w:rPr>
          <w:rFonts w:asciiTheme="minorHAnsi" w:eastAsiaTheme="minorHAnsi" w:hAnsiTheme="minorHAnsi"/>
        </w:rPr>
        <w:t>3-2. 가치사슬과 돈의 흐름</w:t>
      </w:r>
      <w:bookmarkEnd w:id="10"/>
    </w:p>
    <w:p w14:paraId="03362AAA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의 비즈니스 핵심은 "제약사 → CRO →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" 두 경로 모두에서 장비를 사주는 시장이라는 점이다.</w:t>
      </w:r>
    </w:p>
    <w:p w14:paraId="500F6DE2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제약사 → (실험 의뢰 + 비용) → CRO</w:t>
      </w:r>
    </w:p>
    <w:p w14:paraId="7AF764CC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제약사 → (장비 구매) →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</w:p>
    <w:p w14:paraId="7FE2D3F3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CRO → (장비 구매) →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</w:p>
    <w:p w14:paraId="3BEA1C6B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lastRenderedPageBreak/>
        <w:t>소비자 → (약 구매) → 제약사</w:t>
      </w:r>
    </w:p>
    <w:p w14:paraId="1F511A8D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규제기관 ← (보고서 제출) — 허가 O/X</w:t>
      </w:r>
    </w:p>
    <w:p w14:paraId="0574595C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11" w:name="_Toc229316846"/>
      <w:r w:rsidRPr="00AB5563">
        <w:rPr>
          <w:rFonts w:asciiTheme="minorHAnsi" w:eastAsiaTheme="minorHAnsi" w:hAnsiTheme="minorHAnsi"/>
        </w:rPr>
        <w:t>3-3. CRO 시장 — 동물실험 의존도 현황</w:t>
      </w:r>
      <w:bookmarkEnd w:id="11"/>
    </w:p>
    <w:p w14:paraId="5B94D27F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2024년 추정치 기준 미국 CRO의 비임상 시장은 80~90%, </w:t>
      </w:r>
      <w:r w:rsidRPr="00AB5563">
        <w:rPr>
          <w:rFonts w:asciiTheme="minorHAnsi" w:eastAsiaTheme="minorHAnsi" w:hAnsiTheme="minorHAnsi"/>
          <w:b/>
          <w:bCs/>
          <w:color w:val="1C2330"/>
        </w:rPr>
        <w:t>한국은 90~95%가 여전히 동물실험에 의존</w:t>
      </w:r>
      <w:r w:rsidRPr="00AB5563">
        <w:rPr>
          <w:rFonts w:asciiTheme="minorHAnsi" w:eastAsiaTheme="minorHAnsi" w:hAnsiTheme="minorHAnsi"/>
          <w:color w:val="1C2330"/>
        </w:rPr>
        <w:t>하고 있다. 이는 곧 NAMs로의 전환이 가져올 시장 재편 규모(reshuffle)</w:t>
      </w:r>
      <w:proofErr w:type="spellStart"/>
      <w:r w:rsidRPr="00AB5563">
        <w:rPr>
          <w:rFonts w:asciiTheme="minorHAnsi" w:eastAsiaTheme="minorHAnsi" w:hAnsiTheme="minorHAnsi"/>
          <w:color w:val="1C2330"/>
        </w:rPr>
        <w:t>를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의미한다.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4202" w:rsidRPr="00AB5563" w14:paraId="27717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5C3530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 위치. </w:t>
            </w:r>
            <w:r w:rsidRPr="00AB5563">
              <w:rPr>
                <w:rFonts w:asciiTheme="minorHAnsi" w:eastAsiaTheme="minorHAnsi" w:hAnsiTheme="minorHAnsi"/>
                <w:color w:val="1C2330"/>
              </w:rPr>
              <w:t xml:space="preserve">혈액검사로 비유하면 — 제약사가 "이 약 안전한가?" 의뢰하면 CRO가 검사를 수행하고,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는 그 검사에 쓰이는 "검사 장비·시약·플랫폼"을 공급한다. 데이터 인프라 공급자(Data Infrastructure Provider) 포지션이다.</w:t>
            </w:r>
          </w:p>
        </w:tc>
      </w:tr>
    </w:tbl>
    <w:p w14:paraId="470586CA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3A10D04B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12" w:name="_Toc229316847"/>
      <w:r w:rsidRPr="00AB5563">
        <w:rPr>
          <w:rFonts w:asciiTheme="minorHAnsi" w:eastAsiaTheme="minorHAnsi" w:hAnsiTheme="minorHAnsi"/>
        </w:rPr>
        <w:t>5. 비임상 대체기술 — OoC의 포지션</w:t>
      </w:r>
      <w:proofErr w:type="spellStart"/>
      <w:r w:rsidRPr="00AB5563">
        <w:rPr>
          <w:rFonts w:asciiTheme="minorHAnsi" w:eastAsiaTheme="minorHAnsi" w:hAnsiTheme="minorHAnsi"/>
        </w:rPr>
      </w:r>
      <w:proofErr w:type="spellEnd"/>
      <w:r w:rsidRPr="00AB5563">
        <w:rPr>
          <w:rFonts w:asciiTheme="minorHAnsi" w:eastAsiaTheme="minorHAnsi" w:hAnsiTheme="minorHAnsi"/>
        </w:rPr>
      </w:r>
      <w:bookmarkEnd w:id="12"/>
    </w:p>
    <w:p w14:paraId="3213B014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동물실험을 대체할 수 있는 기술(NAMs)은 6개 군이 있다. 각각 다른 시장(</w:t>
      </w:r>
      <w:proofErr w:type="spellStart"/>
      <w:r w:rsidRPr="00AB5563">
        <w:rPr>
          <w:rFonts w:asciiTheme="minorHAnsi" w:eastAsiaTheme="minorHAnsi" w:hAnsiTheme="minorHAnsi"/>
          <w:color w:val="1C2330"/>
        </w:rPr>
        <w:t>스크리닝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/ 검증 / 규제)</w:t>
      </w:r>
      <w:proofErr w:type="spellStart"/>
      <w:r w:rsidRPr="00AB5563">
        <w:rPr>
          <w:rFonts w:asciiTheme="minorHAnsi" w:eastAsiaTheme="minorHAnsi" w:hAnsiTheme="minorHAnsi"/>
          <w:color w:val="1C2330"/>
        </w:rPr>
        <w:t>에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위치하며,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>는 "규제 시장의 최종 관문" 위치를 점하고 있다.</w:t>
      </w:r>
    </w:p>
    <w:p w14:paraId="3856B925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13" w:name="_Toc229316848"/>
      <w:r w:rsidRPr="00AB5563">
        <w:rPr>
          <w:rFonts w:asciiTheme="minorHAnsi" w:eastAsiaTheme="minorHAnsi" w:hAnsiTheme="minorHAnsi"/>
        </w:rPr>
        <w:t>4-1. 6개 NAMs 기술 비교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1280"/>
        <w:gridCol w:w="1477"/>
        <w:gridCol w:w="1385"/>
        <w:gridCol w:w="1280"/>
        <w:gridCol w:w="1280"/>
        <w:gridCol w:w="1105"/>
      </w:tblGrid>
      <w:tr w:rsidR="00DF4202" w:rsidRPr="00AB5563" w14:paraId="0706AAD7" w14:textId="77777777" w:rsidTr="00AB55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99E06" w14:textId="77777777" w:rsidR="00DF4202" w:rsidRPr="00AB5563" w:rsidRDefault="00000000" w:rsidP="00AB5563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기준</w:t>
            </w:r>
          </w:p>
        </w:tc>
        <w:tc>
          <w:tcPr>
            <w:tcW w:w="127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0475C" w14:textId="77777777" w:rsidR="00DF4202" w:rsidRPr="00AB5563" w:rsidRDefault="00000000" w:rsidP="00AB5563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2D</w:t>
            </w:r>
          </w:p>
        </w:tc>
        <w:tc>
          <w:tcPr>
            <w:tcW w:w="1478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E85F1" w14:textId="77777777" w:rsidR="00DF4202" w:rsidRPr="00AB5563" w:rsidRDefault="00000000" w:rsidP="00AB5563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스페로이드</w:t>
            </w:r>
            <w:proofErr w:type="spellEnd"/>
          </w:p>
        </w:tc>
        <w:tc>
          <w:tcPr>
            <w:tcW w:w="138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52938" w14:textId="77777777" w:rsidR="00DF4202" w:rsidRPr="00AB5563" w:rsidRDefault="00000000" w:rsidP="00AB5563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오가노이드</w:t>
            </w:r>
            <w:proofErr w:type="spellEnd"/>
          </w:p>
        </w:tc>
        <w:tc>
          <w:tcPr>
            <w:tcW w:w="128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B2BCE" w14:textId="77777777" w:rsidR="00DF4202" w:rsidRPr="00AB5563" w:rsidRDefault="00000000" w:rsidP="00AB5563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OoC</w:t>
            </w:r>
            <w:proofErr w:type="spellEnd"/>
          </w:p>
        </w:tc>
        <w:tc>
          <w:tcPr>
            <w:tcW w:w="128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C24E0" w14:textId="77777777" w:rsidR="00DF4202" w:rsidRPr="00AB5563" w:rsidRDefault="00000000" w:rsidP="00AB5563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In Silico</w:t>
            </w:r>
          </w:p>
        </w:tc>
        <w:tc>
          <w:tcPr>
            <w:tcW w:w="110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C9974" w14:textId="77777777" w:rsidR="00AB5563" w:rsidRDefault="00000000" w:rsidP="00AB5563">
            <w:pPr>
              <w:spacing w:line="280" w:lineRule="auto"/>
              <w:jc w:val="center"/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바이오</w:t>
            </w:r>
          </w:p>
          <w:p w14:paraId="30DF7134" w14:textId="4E34DA04" w:rsidR="00DF4202" w:rsidRPr="00AB5563" w:rsidRDefault="00000000" w:rsidP="00AB5563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프린팅</w:t>
            </w:r>
          </w:p>
        </w:tc>
      </w:tr>
      <w:tr w:rsidR="00DF4202" w:rsidRPr="00AB5563" w14:paraId="2CD6BDA2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7055B" w14:textId="76F3A49B" w:rsid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생물학적</w:t>
            </w:r>
          </w:p>
          <w:p w14:paraId="25D4B081" w14:textId="681E4C6E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재현도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419C1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</w:t>
            </w:r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CF999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</w:t>
            </w:r>
          </w:p>
        </w:tc>
        <w:tc>
          <w:tcPr>
            <w:tcW w:w="13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03F6B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DC7BD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★★★★★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4454C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</w:t>
            </w:r>
          </w:p>
        </w:tc>
        <w:tc>
          <w:tcPr>
            <w:tcW w:w="110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351D2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</w:t>
            </w:r>
          </w:p>
        </w:tc>
      </w:tr>
      <w:tr w:rsidR="00DF4202" w:rsidRPr="00AB5563" w14:paraId="5C93DC39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5A93F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처리량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AB4F9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★★★★★</w:t>
            </w:r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D7B30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</w:t>
            </w:r>
          </w:p>
        </w:tc>
        <w:tc>
          <w:tcPr>
            <w:tcW w:w="13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BCC43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7E86D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C7F62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★★★★★</w:t>
            </w:r>
          </w:p>
        </w:tc>
        <w:tc>
          <w:tcPr>
            <w:tcW w:w="110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F87A7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</w:t>
            </w:r>
          </w:p>
        </w:tc>
      </w:tr>
      <w:tr w:rsidR="00DF4202" w:rsidRPr="00AB5563" w14:paraId="2DBED1D2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45D49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비용 효율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B868C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★★★★★</w:t>
            </w:r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57836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</w:t>
            </w:r>
          </w:p>
        </w:tc>
        <w:tc>
          <w:tcPr>
            <w:tcW w:w="13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170CE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169BA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1C4B6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★★★★★</w:t>
            </w:r>
          </w:p>
        </w:tc>
        <w:tc>
          <w:tcPr>
            <w:tcW w:w="110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4402C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</w:t>
            </w:r>
          </w:p>
        </w:tc>
      </w:tr>
      <w:tr w:rsidR="00DF4202" w:rsidRPr="00AB5563" w14:paraId="1B50EDCD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4261B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규제 수용성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691DB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★★★★★</w:t>
            </w:r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6534E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</w:t>
            </w:r>
          </w:p>
        </w:tc>
        <w:tc>
          <w:tcPr>
            <w:tcW w:w="13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69B86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92264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★★★★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957CD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</w:t>
            </w:r>
          </w:p>
        </w:tc>
        <w:tc>
          <w:tcPr>
            <w:tcW w:w="110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A4EE1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</w:t>
            </w:r>
          </w:p>
        </w:tc>
      </w:tr>
      <w:tr w:rsidR="00DF4202" w:rsidRPr="00AB5563" w14:paraId="3DD0F14B" w14:textId="77777777" w:rsidTr="00AB556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F7FB5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다장기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통합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2F900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="Segoe UI Symbol" w:eastAsiaTheme="minorHAnsi" w:hAnsi="Segoe UI Symbol" w:cs="Segoe UI Symbol"/>
                <w:color w:val="1C2330"/>
                <w:sz w:val="20"/>
                <w:szCs w:val="20"/>
              </w:rPr>
              <w:t>✗</w:t>
            </w:r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76251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="Segoe UI Symbol" w:eastAsiaTheme="minorHAnsi" w:hAnsi="Segoe UI Symbol" w:cs="Segoe UI Symbol"/>
                <w:color w:val="1C2330"/>
                <w:sz w:val="20"/>
                <w:szCs w:val="20"/>
              </w:rPr>
              <w:t>✗</w:t>
            </w:r>
          </w:p>
        </w:tc>
        <w:tc>
          <w:tcPr>
            <w:tcW w:w="13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3BE3A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△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59A34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="Segoe UI Symbol" w:eastAsiaTheme="minorHAnsi" w:hAnsi="Segoe UI Symbol" w:cs="Segoe UI Symbol"/>
                <w:b/>
                <w:bCs/>
                <w:color w:val="E22718"/>
                <w:sz w:val="20"/>
                <w:szCs w:val="20"/>
              </w:rPr>
              <w:t>✓</w:t>
            </w:r>
          </w:p>
        </w:tc>
        <w:tc>
          <w:tcPr>
            <w:tcW w:w="12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97C48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△</w:t>
            </w:r>
          </w:p>
        </w:tc>
        <w:tc>
          <w:tcPr>
            <w:tcW w:w="110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1A342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△</w:t>
            </w:r>
          </w:p>
        </w:tc>
      </w:tr>
    </w:tbl>
    <w:p w14:paraId="13C5ADAE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14" w:name="_Toc229316849"/>
      <w:r w:rsidRPr="00AB5563">
        <w:rPr>
          <w:rFonts w:asciiTheme="minorHAnsi" w:eastAsiaTheme="minorHAnsi" w:hAnsiTheme="minorHAnsi"/>
        </w:rPr>
        <w:t>4-2. 시장 구조 — 3개 시장의 영구적 분업</w:t>
      </w:r>
      <w:bookmarkEnd w:id="14"/>
    </w:p>
    <w:p w14:paraId="21A4A11D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>는 2D나 AI와 직접 경쟁하지 않는다. 신약 파이프라인의 단계마다 다른 도구가 사용된다.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5"/>
        <w:gridCol w:w="3256"/>
        <w:gridCol w:w="4069"/>
      </w:tblGrid>
      <w:tr w:rsidR="00DF4202" w:rsidRPr="00AB5563" w14:paraId="1FEA7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5922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시장 구분</w:t>
            </w:r>
          </w:p>
        </w:tc>
        <w:tc>
          <w:tcPr>
            <w:tcW w:w="325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4B9F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주력 기술</w:t>
            </w:r>
          </w:p>
        </w:tc>
        <w:tc>
          <w:tcPr>
            <w:tcW w:w="4069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FCDE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특성</w:t>
            </w:r>
          </w:p>
        </w:tc>
      </w:tr>
      <w:tr w:rsidR="00DF4202" w:rsidRPr="00AB5563" w14:paraId="2064CBC6" w14:textId="77777777">
        <w:tblPrEx>
          <w:tblCellMar>
            <w:top w:w="0" w:type="dxa"/>
            <w:bottom w:w="0" w:type="dxa"/>
          </w:tblCellMar>
        </w:tblPrEx>
        <w:tc>
          <w:tcPr>
            <w:tcW w:w="203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0022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스크리닝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시장</w:t>
            </w:r>
          </w:p>
        </w:tc>
        <w:tc>
          <w:tcPr>
            <w:tcW w:w="32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FE35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AI · 2D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스페로이드</w:t>
            </w:r>
            <w:proofErr w:type="spellEnd"/>
          </w:p>
        </w:tc>
        <w:tc>
          <w:tcPr>
            <w:tcW w:w="40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26C6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고처리량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저비용 · 영구 공존</w:t>
            </w:r>
          </w:p>
        </w:tc>
      </w:tr>
      <w:tr w:rsidR="00DF4202" w:rsidRPr="00AB5563" w14:paraId="4CC27D91" w14:textId="77777777">
        <w:tblPrEx>
          <w:tblCellMar>
            <w:top w:w="0" w:type="dxa"/>
            <w:bottom w:w="0" w:type="dxa"/>
          </w:tblCellMar>
        </w:tblPrEx>
        <w:tc>
          <w:tcPr>
            <w:tcW w:w="203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A36C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검증 시장</w:t>
            </w:r>
          </w:p>
        </w:tc>
        <w:tc>
          <w:tcPr>
            <w:tcW w:w="32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4F35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오가노이드</w:t>
            </w:r>
            <w:proofErr w:type="spellEnd"/>
          </w:p>
        </w:tc>
        <w:tc>
          <w:tcPr>
            <w:tcW w:w="40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8D7F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중간 정밀도 · 중간 비용</w:t>
            </w:r>
          </w:p>
        </w:tc>
      </w:tr>
      <w:tr w:rsidR="00DF4202" w:rsidRPr="00AB5563" w14:paraId="562843DC" w14:textId="77777777">
        <w:tblPrEx>
          <w:tblCellMar>
            <w:top w:w="0" w:type="dxa"/>
            <w:bottom w:w="0" w:type="dxa"/>
          </w:tblCellMar>
        </w:tblPrEx>
        <w:tc>
          <w:tcPr>
            <w:tcW w:w="203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8052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규제 시장</w:t>
            </w:r>
          </w:p>
        </w:tc>
        <w:tc>
          <w:tcPr>
            <w:tcW w:w="32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AB56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→ MPS</w:t>
            </w:r>
          </w:p>
        </w:tc>
        <w:tc>
          <w:tcPr>
            <w:tcW w:w="40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F3E5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저처리량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· 고비용 · 고신뢰도 (최종 관문)</w:t>
            </w:r>
          </w:p>
        </w:tc>
      </w:tr>
    </w:tbl>
    <w:p w14:paraId="2D822447" w14:textId="77777777" w:rsidR="00D47540" w:rsidRDefault="00D47540">
      <w:pPr>
        <w:pStyle w:val="2"/>
        <w:rPr>
          <w:rFonts w:asciiTheme="minorHAnsi" w:eastAsiaTheme="minorHAnsi" w:hAnsiTheme="minorHAnsi"/>
        </w:rPr>
      </w:pPr>
      <w:bookmarkStart w:id="15" w:name="_Toc229316850"/>
    </w:p>
    <w:p w14:paraId="61C03319" w14:textId="2DD3B2E1" w:rsidR="00DF4202" w:rsidRPr="00AB5563" w:rsidRDefault="00000000">
      <w:pPr>
        <w:pStyle w:val="2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lastRenderedPageBreak/>
        <w:t xml:space="preserve">4-3. </w:t>
      </w:r>
      <w:proofErr w:type="spellStart"/>
      <w:r w:rsidRPr="00AB5563">
        <w:rPr>
          <w:rFonts w:asciiTheme="minorHAnsi" w:eastAsiaTheme="minorHAnsi" w:hAnsiTheme="minorHAnsi"/>
        </w:rPr>
        <w:t>OoC</w:t>
      </w:r>
      <w:proofErr w:type="spellEnd"/>
      <w:r w:rsidRPr="00AB5563">
        <w:rPr>
          <w:rFonts w:asciiTheme="minorHAnsi" w:eastAsiaTheme="minorHAnsi" w:hAnsiTheme="minorHAnsi"/>
        </w:rPr>
        <w:t>가 약물 임상에 특화된 이유</w:t>
      </w:r>
      <w:bookmarkEnd w:id="15"/>
    </w:p>
    <w:p w14:paraId="257540AB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약물이 몸에서 거치는 경로(장→간→혈관→타깃 장기→신장)</w:t>
      </w:r>
      <w:proofErr w:type="spellStart"/>
      <w:r w:rsidRPr="00AB5563">
        <w:rPr>
          <w:rFonts w:asciiTheme="minorHAnsi" w:eastAsiaTheme="minorHAnsi" w:hAnsiTheme="minorHAnsi"/>
          <w:color w:val="1C2330"/>
        </w:rPr>
        <w:t>를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동시에 모사하려면 장기들이 연결된 환경이 필요하다. 화장품은 단일조직(피부) 안전성만 검증하면 충분 — 3D 피부 모델로 해결되며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의 </w:t>
      </w:r>
      <w:proofErr w:type="spellStart"/>
      <w:r w:rsidRPr="00AB5563">
        <w:rPr>
          <w:rFonts w:asciiTheme="minorHAnsi" w:eastAsiaTheme="minorHAnsi" w:hAnsiTheme="minorHAnsi"/>
          <w:color w:val="1C2330"/>
        </w:rPr>
        <w:t>다장기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모사 능력은 오버엔지니어링이다.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3086"/>
        <w:gridCol w:w="1559"/>
        <w:gridCol w:w="4665"/>
        <w:gridCol w:w="25"/>
      </w:tblGrid>
      <w:tr w:rsidR="00DF4202" w:rsidRPr="00AB5563" w14:paraId="38DAF69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3120" w:type="dxa"/>
            <w:gridSpan w:val="2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E99E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약물 유형</w:t>
            </w:r>
          </w:p>
        </w:tc>
        <w:tc>
          <w:tcPr>
            <w:tcW w:w="15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29B6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 xml:space="preserve"> 적합도</w:t>
            </w:r>
          </w:p>
        </w:tc>
        <w:tc>
          <w:tcPr>
            <w:tcW w:w="468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023D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이유</w:t>
            </w:r>
          </w:p>
        </w:tc>
      </w:tr>
      <w:tr w:rsidR="00DF4202" w:rsidRPr="00AB5563" w14:paraId="13433D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4089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모노클로널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항체(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mAb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AE9CA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★★★★★</w:t>
            </w:r>
          </w:p>
        </w:tc>
        <w:tc>
          <w:tcPr>
            <w:tcW w:w="46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7CF2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FDA가 먼저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전환 지정</w:t>
            </w:r>
          </w:p>
        </w:tc>
      </w:tr>
      <w:tr w:rsidR="00DF4202" w:rsidRPr="00AB5563" w14:paraId="2956A2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B16A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항암제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15650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</w:t>
            </w:r>
          </w:p>
        </w:tc>
        <w:tc>
          <w:tcPr>
            <w:tcW w:w="46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9441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종양-면역 상호작용 재현 가능</w:t>
            </w:r>
          </w:p>
        </w:tc>
      </w:tr>
      <w:tr w:rsidR="00DF4202" w:rsidRPr="00AB5563" w14:paraId="433C51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8F83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간독성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위험 약물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7E5BF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★★★★★</w:t>
            </w:r>
          </w:p>
        </w:tc>
        <w:tc>
          <w:tcPr>
            <w:tcW w:w="46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5A30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Liver-Chip 87% 정확도 입증</w:t>
            </w:r>
          </w:p>
        </w:tc>
      </w:tr>
      <w:tr w:rsidR="00DF4202" w:rsidRPr="00AB5563" w14:paraId="25A00D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250E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BBB 통과 약물 (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뇌질환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6CB44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</w:t>
            </w:r>
          </w:p>
        </w:tc>
        <w:tc>
          <w:tcPr>
            <w:tcW w:w="46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0DAA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혈뇌장벽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칩 구현 가능</w:t>
            </w:r>
          </w:p>
        </w:tc>
      </w:tr>
      <w:tr w:rsidR="00DF4202" w:rsidRPr="00AB5563" w14:paraId="4E170C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C98F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신경계 약물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49B70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</w:t>
            </w:r>
          </w:p>
        </w:tc>
        <w:tc>
          <w:tcPr>
            <w:tcW w:w="46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BE68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행동 평가 불가 → 동물 보완 필요</w:t>
            </w:r>
          </w:p>
        </w:tc>
      </w:tr>
      <w:tr w:rsidR="00DF4202" w:rsidRPr="00AB5563" w14:paraId="019F97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00D0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백신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03D4D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</w:t>
            </w:r>
          </w:p>
        </w:tc>
        <w:tc>
          <w:tcPr>
            <w:tcW w:w="46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C8D9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전신 면역 반응 재현 어려움</w:t>
            </w:r>
          </w:p>
        </w:tc>
      </w:tr>
      <w:tr w:rsidR="00DF4202" w:rsidRPr="00AB5563" w14:paraId="01D99DB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294CF17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기술 포지셔닝.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는 신약 파이프라인의 "최종 규제 관문"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에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위치한 고부가가치 기술이다. 처리량은 낮지만 신뢰도가 결정적인 지점에서 쓰이며, 이 지점은 다른 NAMs로 대체되기 어렵다.</w:t>
            </w:r>
          </w:p>
        </w:tc>
      </w:tr>
    </w:tbl>
    <w:p w14:paraId="148369AB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10797ADA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16" w:name="_Toc229316851"/>
      <w:r w:rsidRPr="00AB5563">
        <w:rPr>
          <w:rFonts w:asciiTheme="minorHAnsi" w:eastAsiaTheme="minorHAnsi" w:hAnsiTheme="minorHAnsi"/>
        </w:rPr>
        <w:t>6. BioSpero 기술 차별성</w:t>
      </w:r>
      <w:proofErr w:type="spellStart"/>
      <w:r w:rsidRPr="00AB5563">
        <w:rPr>
          <w:rFonts w:asciiTheme="minorHAnsi" w:eastAsiaTheme="minorHAnsi" w:hAnsiTheme="minorHAnsi"/>
        </w:rPr>
      </w:r>
      <w:proofErr w:type="spellEnd"/>
      <w:r w:rsidRPr="00AB5563">
        <w:rPr>
          <w:rFonts w:asciiTheme="minorHAnsi" w:eastAsiaTheme="minorHAnsi" w:hAnsiTheme="minorHAnsi"/>
        </w:rPr>
      </w:r>
      <w:bookmarkEnd w:id="16"/>
    </w:p>
    <w:p w14:paraId="1F6AAA61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17" w:name="_Toc229316852"/>
      <w:r w:rsidRPr="00AB5563">
        <w:rPr>
          <w:rFonts w:asciiTheme="minorHAnsi" w:eastAsiaTheme="minorHAnsi" w:hAnsiTheme="minorHAnsi"/>
        </w:rPr>
        <w:t>5-1. 기업 개요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7805"/>
      </w:tblGrid>
      <w:tr w:rsidR="00DF4202" w:rsidRPr="00AB5563" w14:paraId="6602BDED" w14:textId="77777777" w:rsidTr="00D475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7130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780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1811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DF4202" w:rsidRPr="00AB5563" w14:paraId="6356FC11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D142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회사명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9E01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(주)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바이오스페로</w:t>
            </w:r>
            <w:proofErr w:type="spellEnd"/>
          </w:p>
        </w:tc>
      </w:tr>
      <w:tr w:rsidR="00DF4202" w:rsidRPr="00AB5563" w14:paraId="7E61A0B9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101F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설립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5999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2019년 3월 1일</w:t>
            </w:r>
          </w:p>
        </w:tc>
      </w:tr>
      <w:tr w:rsidR="00DF4202" w:rsidRPr="00AB5563" w14:paraId="1D977DA8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FD0D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대표 / CTO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CB1A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김경환 Ph.D. (제주대 공학박사) /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최경현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Ph.D. (Ottawa University,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現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제주대 교수)</w:t>
            </w:r>
          </w:p>
        </w:tc>
      </w:tr>
      <w:tr w:rsidR="00DF4202" w:rsidRPr="00AB5563" w14:paraId="69A75FAE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C4C6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임직원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CECD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11명 (박사 2 · 석사 5 · 학사 4)</w:t>
            </w:r>
          </w:p>
        </w:tc>
      </w:tr>
      <w:tr w:rsidR="00DF4202" w:rsidRPr="00AB5563" w14:paraId="5C97ABB5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E730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주요 제품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DA142" w14:textId="77777777" w:rsidR="00D47540" w:rsidRDefault="00000000">
            <w:pPr>
              <w:spacing w:line="280" w:lineRule="auto"/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® —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-T(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공배양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) </w:t>
            </w:r>
          </w:p>
          <w:p w14:paraId="26606F39" w14:textId="328CB08B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-O(질병모델)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-M(통합 구동)</w:t>
            </w:r>
          </w:p>
        </w:tc>
      </w:tr>
      <w:tr w:rsidR="00DF4202" w:rsidRPr="00AB5563" w14:paraId="7BD3B14B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31BF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수상 / 인증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4AB13" w14:textId="0E85DB36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iF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Design Award 2025 · Good-R&amp;D Award 2024 · 국내특허 20건</w:t>
            </w:r>
          </w:p>
        </w:tc>
      </w:tr>
      <w:tr w:rsidR="00DF4202" w:rsidRPr="00AB5563" w14:paraId="70B5FC62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58FB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본사</w:t>
            </w:r>
          </w:p>
        </w:tc>
        <w:tc>
          <w:tcPr>
            <w:tcW w:w="780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6667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제주 JDC스마트빌딩 / 서울 성동구</w:t>
            </w:r>
          </w:p>
        </w:tc>
      </w:tr>
    </w:tbl>
    <w:p w14:paraId="10A036F0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18" w:name="_Toc229316853"/>
      <w:r w:rsidRPr="00AB5563">
        <w:rPr>
          <w:rFonts w:asciiTheme="minorHAnsi" w:eastAsiaTheme="minorHAnsi" w:hAnsiTheme="minorHAnsi"/>
        </w:rPr>
        <w:t>5-2. 경쟁사 대비 핵심 수치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1560"/>
        <w:gridCol w:w="1417"/>
        <w:gridCol w:w="1701"/>
        <w:gridCol w:w="2419"/>
      </w:tblGrid>
      <w:tr w:rsidR="00DF4202" w:rsidRPr="00AB5563" w14:paraId="75D17552" w14:textId="77777777" w:rsidTr="00D475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3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847E9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비교 항목</w:t>
            </w:r>
          </w:p>
        </w:tc>
        <w:tc>
          <w:tcPr>
            <w:tcW w:w="15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11671" w14:textId="77777777" w:rsidR="00D47540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 xml:space="preserve">Emulate </w:t>
            </w:r>
          </w:p>
          <w:p w14:paraId="549BB4B9" w14:textId="0F934D1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(미국)</w:t>
            </w:r>
          </w:p>
        </w:tc>
        <w:tc>
          <w:tcPr>
            <w:tcW w:w="141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0F971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MIMETAS (네)</w:t>
            </w:r>
          </w:p>
        </w:tc>
        <w:tc>
          <w:tcPr>
            <w:tcW w:w="1701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E54E5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MEPSGEN (한)</w:t>
            </w:r>
          </w:p>
        </w:tc>
        <w:tc>
          <w:tcPr>
            <w:tcW w:w="2419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B9DCB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BioSpero</w:t>
            </w:r>
            <w:proofErr w:type="spellEnd"/>
          </w:p>
        </w:tc>
      </w:tr>
      <w:tr w:rsidR="00DF4202" w:rsidRPr="00AB5563" w14:paraId="33E0CC52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EBF4D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칩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수용량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(독립 제어)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DD832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12개 O</w:t>
            </w:r>
          </w:p>
        </w:tc>
        <w:tc>
          <w:tcPr>
            <w:tcW w:w="141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BCD4F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64개 X</w:t>
            </w:r>
          </w:p>
        </w:tc>
        <w:tc>
          <w:tcPr>
            <w:tcW w:w="170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00CB2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32개 X</w:t>
            </w:r>
          </w:p>
        </w:tc>
        <w:tc>
          <w:tcPr>
            <w:tcW w:w="2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3B698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12개 O</w:t>
            </w:r>
          </w:p>
        </w:tc>
      </w:tr>
      <w:tr w:rsidR="00DF4202" w:rsidRPr="00AB5563" w14:paraId="2825BC0D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B3D3B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배양액 용량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8D94D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1mL</w:t>
            </w:r>
          </w:p>
        </w:tc>
        <w:tc>
          <w:tcPr>
            <w:tcW w:w="141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522C8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15~90μL</w:t>
            </w:r>
          </w:p>
        </w:tc>
        <w:tc>
          <w:tcPr>
            <w:tcW w:w="170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43B41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500μL</w:t>
            </w:r>
          </w:p>
        </w:tc>
        <w:tc>
          <w:tcPr>
            <w:tcW w:w="2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21C55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3mL — 대량 분석 가능</w:t>
            </w:r>
          </w:p>
        </w:tc>
      </w:tr>
      <w:tr w:rsidR="00DF4202" w:rsidRPr="00AB5563" w14:paraId="4519BE78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C0A06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유량 공급 방식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97713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공기압 단방향</w:t>
            </w:r>
          </w:p>
        </w:tc>
        <w:tc>
          <w:tcPr>
            <w:tcW w:w="141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9E727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중력 기반</w:t>
            </w:r>
          </w:p>
        </w:tc>
        <w:tc>
          <w:tcPr>
            <w:tcW w:w="170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56F14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공기압 단방향</w:t>
            </w:r>
          </w:p>
        </w:tc>
        <w:tc>
          <w:tcPr>
            <w:tcW w:w="2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316AD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연동 펌프 순환</w:t>
            </w:r>
          </w:p>
        </w:tc>
      </w:tr>
      <w:tr w:rsidR="00DF4202" w:rsidRPr="00AB5563" w14:paraId="62DBF09C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CD059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세포 배양 면적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19624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17.1mm²</w:t>
            </w:r>
          </w:p>
        </w:tc>
        <w:tc>
          <w:tcPr>
            <w:tcW w:w="141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99236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0.57mm²</w:t>
            </w:r>
          </w:p>
        </w:tc>
        <w:tc>
          <w:tcPr>
            <w:tcW w:w="170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ADEC3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1.14mm²</w:t>
            </w:r>
          </w:p>
        </w:tc>
        <w:tc>
          <w:tcPr>
            <w:tcW w:w="2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09AB6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48mm² (최대 25배↑)</w:t>
            </w:r>
          </w:p>
        </w:tc>
      </w:tr>
      <w:tr w:rsidR="00DF4202" w:rsidRPr="00AB5563" w14:paraId="2D653E54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A8F3A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다장기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확장성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575E4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제한적</w:t>
            </w:r>
          </w:p>
        </w:tc>
        <w:tc>
          <w:tcPr>
            <w:tcW w:w="141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89328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제한적</w:t>
            </w:r>
          </w:p>
        </w:tc>
        <w:tc>
          <w:tcPr>
            <w:tcW w:w="170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22B98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불가능</w:t>
            </w:r>
          </w:p>
        </w:tc>
        <w:tc>
          <w:tcPr>
            <w:tcW w:w="2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F1354" w14:textId="77777777" w:rsidR="00DF4202" w:rsidRPr="00AB5563" w:rsidRDefault="00000000" w:rsidP="00D4754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Multi-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가능</w:t>
            </w:r>
          </w:p>
        </w:tc>
      </w:tr>
    </w:tbl>
    <w:p w14:paraId="49E437EA" w14:textId="77777777" w:rsidR="00D47540" w:rsidRDefault="00D47540">
      <w:pPr>
        <w:pStyle w:val="3"/>
        <w:rPr>
          <w:rFonts w:asciiTheme="minorHAnsi" w:eastAsiaTheme="minorHAnsi" w:hAnsiTheme="minorHAnsi"/>
        </w:rPr>
      </w:pPr>
    </w:p>
    <w:p w14:paraId="2014FAED" w14:textId="65214F18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lastRenderedPageBreak/>
        <w:t>핵심 우위 요약</w:t>
      </w:r>
    </w:p>
    <w:p w14:paraId="5FEB2AD7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배양 면적 48mm² — </w:t>
      </w:r>
      <w:r w:rsidRPr="00AB5563">
        <w:rPr>
          <w:rFonts w:asciiTheme="minorHAnsi" w:eastAsiaTheme="minorHAnsi" w:hAnsiTheme="minorHAnsi"/>
          <w:color w:val="1C2330"/>
        </w:rPr>
        <w:t>실제 생리환경 모사, 샘플 회수·Multi-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연계 가능</w:t>
      </w:r>
    </w:p>
    <w:p w14:paraId="5BD764A7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배양액 3mL — </w:t>
      </w:r>
      <w:r w:rsidRPr="00AB5563">
        <w:rPr>
          <w:rFonts w:asciiTheme="minorHAnsi" w:eastAsiaTheme="minorHAnsi" w:hAnsiTheme="minorHAnsi"/>
          <w:color w:val="1C2330"/>
        </w:rPr>
        <w:t>반복·장기 분석 용이, 동결·희석 문제 최소화</w:t>
      </w:r>
    </w:p>
    <w:p w14:paraId="713D3FBE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b/>
          <w:bCs/>
          <w:color w:val="0F2244"/>
        </w:rPr>
        <w:t>순환식</w:t>
      </w:r>
      <w:proofErr w:type="spellEnd"/>
      <w:r w:rsidRPr="00AB5563">
        <w:rPr>
          <w:rFonts w:asciiTheme="minorHAnsi" w:eastAsiaTheme="minorHAnsi" w:hAnsiTheme="minorHAnsi"/>
          <w:b/>
          <w:bCs/>
          <w:color w:val="0F2244"/>
        </w:rPr>
        <w:t xml:space="preserve"> 연동 펌프 — </w:t>
      </w:r>
      <w:r w:rsidRPr="00AB5563">
        <w:rPr>
          <w:rFonts w:asciiTheme="minorHAnsi" w:eastAsiaTheme="minorHAnsi" w:hAnsiTheme="minorHAnsi"/>
          <w:color w:val="1C2330"/>
        </w:rPr>
        <w:t>장기 안정성, 약물 농도 일정 유지</w:t>
      </w:r>
    </w:p>
    <w:p w14:paraId="55C35D80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>Multi-</w:t>
      </w:r>
      <w:proofErr w:type="spellStart"/>
      <w:r w:rsidRPr="00AB5563">
        <w:rPr>
          <w:rFonts w:asciiTheme="minorHAnsi" w:eastAsiaTheme="minorHAnsi" w:hAnsiTheme="minorHAnsi"/>
          <w:b/>
          <w:bCs/>
          <w:color w:val="0F2244"/>
        </w:rPr>
        <w:t>OoC</w:t>
      </w:r>
      <w:proofErr w:type="spellEnd"/>
      <w:r w:rsidRPr="00AB5563">
        <w:rPr>
          <w:rFonts w:asciiTheme="minorHAnsi" w:eastAsiaTheme="minorHAnsi" w:hAnsiTheme="minorHAnsi"/>
          <w:b/>
          <w:bCs/>
          <w:color w:val="0F2244"/>
        </w:rPr>
        <w:t xml:space="preserve"> 확장 — </w:t>
      </w:r>
      <w:proofErr w:type="spellStart"/>
      <w:r w:rsidRPr="00AB5563">
        <w:rPr>
          <w:rFonts w:asciiTheme="minorHAnsi" w:eastAsiaTheme="minorHAnsi" w:hAnsiTheme="minorHAnsi"/>
          <w:color w:val="1C2330"/>
        </w:rPr>
        <w:t>다장기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플랫폼으로 신규 시장 창출 가능 (어느 기업도 표준 없는 오픈 필드)</w:t>
      </w:r>
    </w:p>
    <w:p w14:paraId="42E6CC8B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19" w:name="_Toc229316854"/>
      <w:r w:rsidRPr="00AB5563">
        <w:rPr>
          <w:rFonts w:asciiTheme="minorHAnsi" w:eastAsiaTheme="minorHAnsi" w:hAnsiTheme="minorHAnsi"/>
        </w:rPr>
        <w:t>5-3. 적용 사례 (글로벌 파트너십 · IR 기준)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DF4202" w:rsidRPr="00AB5563" w14:paraId="1558E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1D08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질환</w:t>
            </w:r>
          </w:p>
        </w:tc>
        <w:tc>
          <w:tcPr>
            <w:tcW w:w="21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AAC2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MPS 유형</w:t>
            </w:r>
          </w:p>
        </w:tc>
        <w:tc>
          <w:tcPr>
            <w:tcW w:w="21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C3D5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임상 단계</w:t>
            </w:r>
          </w:p>
        </w:tc>
        <w:tc>
          <w:tcPr>
            <w:tcW w:w="21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9601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스폰서</w:t>
            </w:r>
          </w:p>
        </w:tc>
      </w:tr>
      <w:tr w:rsidR="00DF4202" w:rsidRPr="00AB5563" w14:paraId="15D67C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71FD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간세포암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DF77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Organoid on Chips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B611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Active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815B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Pfizer Hospira UK</w:t>
            </w:r>
          </w:p>
        </w:tc>
      </w:tr>
      <w:tr w:rsidR="00DF4202" w:rsidRPr="00AB5563" w14:paraId="5F52602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4C59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폐쇄성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비후성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심근증</w:t>
            </w:r>
            <w:proofErr w:type="spellEnd"/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E311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Organoid on Chips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F02E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Completed Ph.1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EF17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Jiangsu Hengrui</w:t>
            </w:r>
          </w:p>
        </w:tc>
      </w:tr>
      <w:tr w:rsidR="00DF4202" w:rsidRPr="00AB5563" w14:paraId="25A72C7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0D1D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CIDP (만성 염증성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탈수초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다발성 신경병증)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0604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 on Chip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B79C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Active Ph.2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AF71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Sanofi</w:t>
            </w:r>
          </w:p>
        </w:tc>
      </w:tr>
      <w:tr w:rsidR="00DF4202" w:rsidRPr="00AB5563" w14:paraId="19B28C6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1B7A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삼중음성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유방암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F8D7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 on Chip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3A5A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Recruiting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6450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Various</w:t>
            </w:r>
          </w:p>
        </w:tc>
      </w:tr>
      <w:tr w:rsidR="00DF4202" w:rsidRPr="00AB5563" w14:paraId="302F06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074F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성인 교모세포종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376F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 on Chip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73F0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Recruiting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A38B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Drug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MoA</w:t>
            </w:r>
            <w:proofErr w:type="spellEnd"/>
          </w:p>
        </w:tc>
      </w:tr>
      <w:tr w:rsidR="00DF4202" w:rsidRPr="00AB5563" w14:paraId="53C4B85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9AE5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COVID-19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247D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 on Chip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A4C0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Completed Ph.2</w:t>
            </w:r>
          </w:p>
        </w:tc>
        <w:tc>
          <w:tcPr>
            <w:tcW w:w="21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3BBB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신풍제약</w:t>
            </w:r>
          </w:p>
        </w:tc>
      </w:tr>
    </w:tbl>
    <w:p w14:paraId="3CE0B42D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136D02A2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20" w:name="_Toc229316855"/>
      <w:r w:rsidRPr="00AB5563">
        <w:rPr>
          <w:rFonts w:asciiTheme="minorHAnsi" w:eastAsiaTheme="minorHAnsi" w:hAnsiTheme="minorHAnsi"/>
        </w:rPr>
        <w:t>7. 비즈니스 모델 — 하이브리드 구조</w:t>
      </w:r>
      <w:bookmarkEnd w:id="20"/>
    </w:p>
    <w:p w14:paraId="580AC3FC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21" w:name="_Toc229316856"/>
      <w:r w:rsidRPr="00AB5563">
        <w:rPr>
          <w:rFonts w:asciiTheme="minorHAnsi" w:eastAsiaTheme="minorHAnsi" w:hAnsiTheme="minorHAnsi"/>
        </w:rPr>
        <w:t>6-1. 두 개의 축</w:t>
      </w:r>
      <w:bookmarkEnd w:id="21"/>
    </w:p>
    <w:p w14:paraId="300D9129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의 BM은 </w:t>
      </w:r>
      <w:r w:rsidRPr="00D47540">
        <w:rPr>
          <w:rFonts w:asciiTheme="minorHAnsi" w:eastAsiaTheme="minorHAnsi" w:hAnsiTheme="minorHAnsi"/>
          <w:b/>
          <w:bCs/>
          <w:color w:val="1C2330"/>
        </w:rPr>
        <w:t xml:space="preserve">"제품 판매(프린터-토너 모델)"와 "서비스 제공(Preclinical CRO)" </w:t>
      </w:r>
      <w:r w:rsidRPr="00AB5563">
        <w:rPr>
          <w:rFonts w:asciiTheme="minorHAnsi" w:eastAsiaTheme="minorHAnsi" w:hAnsiTheme="minorHAnsi"/>
          <w:color w:val="1C2330"/>
        </w:rPr>
        <w:t>두 축의 하이브리드이다.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DF4202" w:rsidRPr="00AB5563" w14:paraId="3C473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699F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축</w:t>
            </w:r>
          </w:p>
        </w:tc>
        <w:tc>
          <w:tcPr>
            <w:tcW w:w="468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DDB9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구조</w:t>
            </w:r>
          </w:p>
        </w:tc>
        <w:tc>
          <w:tcPr>
            <w:tcW w:w="234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F276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핵심 타깃</w:t>
            </w:r>
          </w:p>
        </w:tc>
      </w:tr>
      <w:tr w:rsidR="00DF4202" w:rsidRPr="00AB5563" w14:paraId="7F7831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4F45E" w14:textId="77777777" w:rsidR="00D47540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제품 판매 </w:t>
            </w:r>
          </w:p>
          <w:p w14:paraId="12F7C4BC" w14:textId="5341F0EF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— 프린터-토너 모델</w:t>
            </w:r>
          </w:p>
        </w:tc>
        <w:tc>
          <w:tcPr>
            <w:tcW w:w="46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3113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-M·O·T 장비 판매 + 바이오 키트 반복 구매(세포 칩·시약·SOP)</w:t>
            </w:r>
          </w:p>
        </w:tc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8A90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일본·미국 대형 제약사·CRO</w:t>
            </w:r>
          </w:p>
        </w:tc>
      </w:tr>
      <w:tr w:rsidR="00DF4202" w:rsidRPr="00AB5563" w14:paraId="3D8D51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EA79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서비스 —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BiolabXpert</w:t>
            </w:r>
            <w:proofErr w:type="spellEnd"/>
          </w:p>
        </w:tc>
        <w:tc>
          <w:tcPr>
            <w:tcW w:w="46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F82C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차세대 Preclinical CRO/Testing — 화합물 받아 직접 실험 후 IND 데이터 패키지 납품</w:t>
            </w:r>
          </w:p>
        </w:tc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9C87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한국 중소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바이오텍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·임상 준비 스타트업</w:t>
            </w:r>
          </w:p>
        </w:tc>
      </w:tr>
    </w:tbl>
    <w:p w14:paraId="7175EF43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22" w:name="_Toc229316857"/>
      <w:r w:rsidRPr="00AB5563">
        <w:rPr>
          <w:rFonts w:asciiTheme="minorHAnsi" w:eastAsiaTheme="minorHAnsi" w:hAnsiTheme="minorHAnsi"/>
        </w:rPr>
        <w:t xml:space="preserve">6-2. 6개 </w:t>
      </w:r>
      <w:proofErr w:type="spellStart"/>
      <w:r w:rsidRPr="00AB5563">
        <w:rPr>
          <w:rFonts w:asciiTheme="minorHAnsi" w:eastAsiaTheme="minorHAnsi" w:hAnsiTheme="minorHAnsi"/>
        </w:rPr>
        <w:t>수익원</w:t>
      </w:r>
      <w:bookmarkEnd w:id="22"/>
      <w:proofErr w:type="spellEnd"/>
    </w:p>
    <w:p w14:paraId="5468BED2" w14:textId="77777777" w:rsidR="00DF4202" w:rsidRPr="00AB5563" w:rsidRDefault="00000000">
      <w:pPr>
        <w:pStyle w:val="a4"/>
        <w:numPr>
          <w:ilvl w:val="0"/>
          <w:numId w:val="4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장비 판매 (</w:t>
      </w:r>
      <w:proofErr w:type="spellStart"/>
      <w:r w:rsidRPr="00AB5563">
        <w:rPr>
          <w:rFonts w:asciiTheme="minorHAnsi" w:eastAsiaTheme="minorHAnsi" w:hAnsiTheme="minorHAnsi"/>
          <w:color w:val="1C2330"/>
        </w:rPr>
        <w:t>OrganXpert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>-M·O·T)</w:t>
      </w:r>
    </w:p>
    <w:p w14:paraId="516D6444" w14:textId="77777777" w:rsidR="00DF4202" w:rsidRPr="00AB5563" w:rsidRDefault="00000000">
      <w:pPr>
        <w:pStyle w:val="a4"/>
        <w:numPr>
          <w:ilvl w:val="0"/>
          <w:numId w:val="4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카트리지/칩 소모품 (반복 매출 핵심)</w:t>
      </w:r>
    </w:p>
    <w:p w14:paraId="6CAC66B5" w14:textId="77777777" w:rsidR="00DF4202" w:rsidRPr="00AB5563" w:rsidRDefault="00000000">
      <w:pPr>
        <w:pStyle w:val="a4"/>
        <w:numPr>
          <w:ilvl w:val="0"/>
          <w:numId w:val="4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실험 서비스 (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BiolabXpert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CRO)</w:t>
      </w:r>
    </w:p>
    <w:p w14:paraId="2CED1E13" w14:textId="77777777" w:rsidR="00DF4202" w:rsidRPr="00AB5563" w:rsidRDefault="00000000">
      <w:pPr>
        <w:pStyle w:val="a4"/>
        <w:numPr>
          <w:ilvl w:val="0"/>
          <w:numId w:val="4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공동개발 계약 (Co-development, 마일스톤 수익)</w:t>
      </w:r>
    </w:p>
    <w:p w14:paraId="1FA77D2C" w14:textId="77777777" w:rsidR="00DF4202" w:rsidRPr="00AB5563" w:rsidRDefault="00000000">
      <w:pPr>
        <w:pStyle w:val="a4"/>
        <w:numPr>
          <w:ilvl w:val="0"/>
          <w:numId w:val="4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데이터 패키지 판매 (축적 약물 반응 데이터셋)</w:t>
      </w:r>
    </w:p>
    <w:p w14:paraId="7779B249" w14:textId="77777777" w:rsidR="00DF4202" w:rsidRPr="00AB5563" w:rsidRDefault="00000000">
      <w:pPr>
        <w:pStyle w:val="a4"/>
        <w:numPr>
          <w:ilvl w:val="0"/>
          <w:numId w:val="4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질환별/장기별 Assay Kit (완성형 키트 패키지)</w:t>
      </w:r>
    </w:p>
    <w:p w14:paraId="12B9884B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23" w:name="_Toc229316858"/>
      <w:r w:rsidRPr="00AB5563">
        <w:rPr>
          <w:rFonts w:asciiTheme="minorHAnsi" w:eastAsiaTheme="minorHAnsi" w:hAnsiTheme="minorHAnsi"/>
        </w:rPr>
        <w:t>6-3. 매출 전망 (</w:t>
      </w:r>
      <w:proofErr w:type="spellStart"/>
      <w:r w:rsidRPr="00AB5563">
        <w:rPr>
          <w:rFonts w:asciiTheme="minorHAnsi" w:eastAsiaTheme="minorHAnsi" w:hAnsiTheme="minorHAnsi"/>
        </w:rPr>
        <w:t>BioSpero</w:t>
      </w:r>
      <w:proofErr w:type="spellEnd"/>
      <w:r w:rsidRPr="00AB5563">
        <w:rPr>
          <w:rFonts w:asciiTheme="minorHAnsi" w:eastAsiaTheme="minorHAnsi" w:hAnsiTheme="minorHAnsi"/>
        </w:rPr>
        <w:t xml:space="preserve"> IR 원문)</w:t>
      </w:r>
      <w:bookmarkEnd w:id="23"/>
    </w:p>
    <w:p w14:paraId="72AE5CC4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IR 기준 추정치이며, 본 보고서는 보수 시나리오 병행 검토를 권장한다.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50"/>
        <w:gridCol w:w="1950"/>
        <w:gridCol w:w="1560"/>
        <w:gridCol w:w="1560"/>
      </w:tblGrid>
      <w:tr w:rsidR="00DF4202" w:rsidRPr="00AB5563" w14:paraId="016D8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9BBE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연도</w:t>
            </w:r>
          </w:p>
        </w:tc>
        <w:tc>
          <w:tcPr>
            <w:tcW w:w="195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A213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-M</w:t>
            </w:r>
          </w:p>
        </w:tc>
        <w:tc>
          <w:tcPr>
            <w:tcW w:w="195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96A2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-O</w:t>
            </w:r>
          </w:p>
        </w:tc>
        <w:tc>
          <w:tcPr>
            <w:tcW w:w="15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A9AA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서비스</w:t>
            </w:r>
          </w:p>
        </w:tc>
        <w:tc>
          <w:tcPr>
            <w:tcW w:w="15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C113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총 매출</w:t>
            </w:r>
          </w:p>
        </w:tc>
      </w:tr>
      <w:tr w:rsidR="00DF4202" w:rsidRPr="00AB5563" w14:paraId="40AADF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D056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2025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621DC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4억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DAC25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1DC43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BC17F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5억</w:t>
            </w:r>
          </w:p>
        </w:tc>
      </w:tr>
      <w:tr w:rsidR="00DF4202" w:rsidRPr="00AB5563" w14:paraId="14F4A4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5E46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2026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8EBC2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36억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95A4D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20억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A1A3B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D369C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59억</w:t>
            </w:r>
          </w:p>
        </w:tc>
      </w:tr>
      <w:tr w:rsidR="00DF4202" w:rsidRPr="00AB5563" w14:paraId="49C7B2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3848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lastRenderedPageBreak/>
              <w:t>2027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EDA2B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160억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4A240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120억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14A09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8억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244D6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288억</w:t>
            </w:r>
          </w:p>
        </w:tc>
      </w:tr>
      <w:tr w:rsidR="00DF4202" w:rsidRPr="00AB5563" w14:paraId="5ED3B4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6483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2028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D1650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260억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DB49B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230억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68B54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15억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BFA71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505억</w:t>
            </w:r>
          </w:p>
        </w:tc>
      </w:tr>
      <w:tr w:rsidR="00DF4202" w:rsidRPr="00AB5563" w14:paraId="6D97DD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3E22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2029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75E63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435억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CD79A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300억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80E68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30억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D6EFE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765억</w:t>
            </w:r>
          </w:p>
        </w:tc>
      </w:tr>
      <w:tr w:rsidR="00DF4202" w:rsidRPr="00AB5563" w14:paraId="06E75D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8EEB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2030 (IPO 목표)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B728C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610억</w:t>
            </w:r>
          </w:p>
        </w:tc>
        <w:tc>
          <w:tcPr>
            <w:tcW w:w="195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62D04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575억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9C939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45억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95039" w14:textId="77777777" w:rsidR="00DF4202" w:rsidRPr="00AB5563" w:rsidRDefault="00000000">
            <w:pPr>
              <w:spacing w:line="280" w:lineRule="auto"/>
              <w:jc w:val="right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1,230억</w:t>
            </w:r>
          </w:p>
        </w:tc>
      </w:tr>
    </w:tbl>
    <w:p w14:paraId="74F0F8C0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24" w:name="_Toc229316859"/>
      <w:r w:rsidRPr="00AB5563">
        <w:rPr>
          <w:rFonts w:asciiTheme="minorHAnsi" w:eastAsiaTheme="minorHAnsi" w:hAnsiTheme="minorHAnsi"/>
        </w:rPr>
        <w:t>6-4. 투자 구조</w:t>
      </w:r>
      <w:bookmarkEnd w:id="24"/>
    </w:p>
    <w:p w14:paraId="5B83C6CC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모집: </w:t>
      </w:r>
      <w:r w:rsidRPr="00AB5563">
        <w:rPr>
          <w:rFonts w:asciiTheme="minorHAnsi" w:eastAsiaTheme="minorHAnsi" w:hAnsiTheme="minorHAnsi"/>
          <w:color w:val="1C2330"/>
        </w:rPr>
        <w:t>20억원 (Pre 200억 / Post 220억 / 투자자 지분 10%)</w:t>
      </w:r>
    </w:p>
    <w:p w14:paraId="696E7346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사용: </w:t>
      </w:r>
      <w:r w:rsidRPr="00AB5563">
        <w:rPr>
          <w:rFonts w:asciiTheme="minorHAnsi" w:eastAsiaTheme="minorHAnsi" w:hAnsiTheme="minorHAnsi"/>
          <w:color w:val="1C2330"/>
        </w:rPr>
        <w:t>생산·서비스 시설 6억 / 마케팅·해외 인증 10억 / 운영자금 4억</w:t>
      </w:r>
    </w:p>
    <w:p w14:paraId="4D49253D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기 투자: </w:t>
      </w:r>
      <w:r w:rsidRPr="00AB5563">
        <w:rPr>
          <w:rFonts w:asciiTheme="minorHAnsi" w:eastAsiaTheme="minorHAnsi" w:hAnsiTheme="minorHAnsi"/>
          <w:color w:val="1C2330"/>
        </w:rPr>
        <w:t>기술보증기금 12억 (2024.06 완료)</w:t>
      </w:r>
    </w:p>
    <w:p w14:paraId="0A2662B7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7DA5B9E1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25" w:name="_Toc229316860"/>
      <w:r w:rsidRPr="00AB5563">
        <w:rPr>
          <w:rFonts w:asciiTheme="minorHAnsi" w:eastAsiaTheme="minorHAnsi" w:hAnsiTheme="minorHAnsi"/>
        </w:rPr>
        <w:t>8. 3C/STP 기반 핵심고객 정의 — CRO인가, 화장품 제조사인가</w:t>
      </w:r>
      <w:bookmarkEnd w:id="25"/>
    </w:p>
    <w:p w14:paraId="59D8DDCE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가 어느 고객군에 우선 집중할지는 제품·가격·BM 설계 전체를 좌우한다. 본 절은 4개 고객군을 비교하여 "제약사 R&amp;D 직판"이 1순위, CRO가 2순위, 학술이 3순위, 화장품 제조사는 비핵심임을 도출한다.</w:t>
      </w:r>
    </w:p>
    <w:p w14:paraId="6FC2056B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26" w:name="_Toc229316861"/>
      <w:r w:rsidRPr="00AB5563">
        <w:rPr>
          <w:rFonts w:asciiTheme="minorHAnsi" w:eastAsiaTheme="minorHAnsi" w:hAnsiTheme="minorHAnsi"/>
        </w:rPr>
        <w:t xml:space="preserve">7-1. 4개 </w:t>
      </w:r>
      <w:proofErr w:type="spellStart"/>
      <w:r w:rsidRPr="00AB5563">
        <w:rPr>
          <w:rFonts w:asciiTheme="minorHAnsi" w:eastAsiaTheme="minorHAnsi" w:hAnsiTheme="minorHAnsi"/>
        </w:rPr>
        <w:t>고객군</w:t>
      </w:r>
      <w:proofErr w:type="spellEnd"/>
      <w:r w:rsidRPr="00AB5563">
        <w:rPr>
          <w:rFonts w:asciiTheme="minorHAnsi" w:eastAsiaTheme="minorHAnsi" w:hAnsiTheme="minorHAnsi"/>
        </w:rPr>
        <w:t xml:space="preserve"> 비교 매트릭스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237"/>
        <w:gridCol w:w="1979"/>
        <w:gridCol w:w="1698"/>
        <w:gridCol w:w="1982"/>
        <w:gridCol w:w="1414"/>
        <w:gridCol w:w="25"/>
      </w:tblGrid>
      <w:tr w:rsidR="00DF4202" w:rsidRPr="00AB5563" w14:paraId="526BFD0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269" w:type="dxa"/>
            <w:gridSpan w:val="2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6D50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고객군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 xml:space="preserve"> (예시)</w:t>
            </w:r>
          </w:p>
        </w:tc>
        <w:tc>
          <w:tcPr>
            <w:tcW w:w="198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8453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의사결정 동기</w:t>
            </w:r>
          </w:p>
        </w:tc>
        <w:tc>
          <w:tcPr>
            <w:tcW w:w="1702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5161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구매 행태</w:t>
            </w:r>
          </w:p>
        </w:tc>
        <w:tc>
          <w:tcPr>
            <w:tcW w:w="198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E63E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 xml:space="preserve"> BM</w:t>
            </w:r>
          </w:p>
        </w:tc>
        <w:tc>
          <w:tcPr>
            <w:tcW w:w="1419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C4B9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우선순위</w:t>
            </w:r>
          </w:p>
        </w:tc>
      </w:tr>
      <w:tr w:rsidR="00DF4202" w:rsidRPr="00AB5563" w14:paraId="4C21F5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69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6B8F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글로벌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빅파마</w:t>
            </w:r>
            <w:proofErr w:type="spellEnd"/>
          </w:p>
          <w:p w14:paraId="2F833AF1" w14:textId="55DF7112" w:rsidR="00DF4202" w:rsidRPr="00D47540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D47540">
              <w:rPr>
                <w:rFonts w:asciiTheme="minorHAnsi" w:eastAsiaTheme="minorHAnsi" w:hAnsiTheme="minorHAnsi"/>
                <w:color w:val="E22718"/>
                <w:sz w:val="20"/>
                <w:szCs w:val="20"/>
              </w:rPr>
              <w:t xml:space="preserve">Daiichi-Sankyo · Eisai · Astellas · 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90D8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신약 R&amp;D 생산성</w:t>
            </w:r>
          </w:p>
          <w:p w14:paraId="37082BE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(임상 실패율 93% 절감)</w:t>
            </w:r>
          </w:p>
        </w:tc>
        <w:tc>
          <w:tcPr>
            <w:tcW w:w="170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8806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장비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직구매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+ 소모품 반복 구매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1C5B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Hardware + Consumables</w:t>
            </w:r>
          </w:p>
          <w:p w14:paraId="38FA7AA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(프린터-토너 모델)</w:t>
            </w:r>
          </w:p>
        </w:tc>
        <w:tc>
          <w:tcPr>
            <w:tcW w:w="1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F766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★ 1순위</w:t>
            </w:r>
          </w:p>
          <w:p w14:paraId="29AF7B8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일본 SPI 채널</w:t>
            </w:r>
          </w:p>
        </w:tc>
      </w:tr>
      <w:tr w:rsidR="00DF4202" w:rsidRPr="00AB5563" w14:paraId="099D45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69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F6B32" w14:textId="77777777" w:rsidR="00DF4202" w:rsidRPr="00D47540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</w:rPr>
            </w:pPr>
            <w:r w:rsidRPr="00D47540">
              <w:rPr>
                <w:rFonts w:asciiTheme="minorHAnsi" w:eastAsiaTheme="minorHAnsi" w:hAnsiTheme="minorHAnsi"/>
                <w:b/>
                <w:bCs/>
                <w:color w:val="1C2330"/>
                <w:sz w:val="20"/>
                <w:szCs w:val="20"/>
              </w:rPr>
              <w:t>CRO (실험 대행기관)</w:t>
            </w:r>
          </w:p>
          <w:p w14:paraId="295038A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Charles River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Labcorp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KNOTUS · KCR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DrugBio</w:t>
            </w:r>
            <w:proofErr w:type="spellEnd"/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A303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서비스 메뉴 확장</w:t>
            </w:r>
          </w:p>
          <w:p w14:paraId="0737934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(NAMs 시장 대응)</w:t>
            </w:r>
          </w:p>
        </w:tc>
        <w:tc>
          <w:tcPr>
            <w:tcW w:w="170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8FB1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장비 + 위탁실험 hybrid 도입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51FA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장비 판매 +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BiolabXpert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CRO 위탁</w:t>
            </w:r>
          </w:p>
        </w:tc>
        <w:tc>
          <w:tcPr>
            <w:tcW w:w="1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B5CF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 2순위</w:t>
            </w:r>
          </w:p>
          <w:p w14:paraId="54A99A9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한국 시장 우선</w:t>
            </w:r>
          </w:p>
        </w:tc>
      </w:tr>
      <w:tr w:rsidR="00DF4202" w:rsidRPr="00AB5563" w14:paraId="141267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69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743CE" w14:textId="77777777" w:rsidR="00DF4202" w:rsidRPr="00D47540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</w:rPr>
            </w:pPr>
            <w:r w:rsidRPr="00D47540">
              <w:rPr>
                <w:rFonts w:asciiTheme="minorHAnsi" w:eastAsiaTheme="minorHAnsi" w:hAnsiTheme="minorHAnsi"/>
                <w:b/>
                <w:bCs/>
                <w:color w:val="1C2330"/>
                <w:sz w:val="20"/>
                <w:szCs w:val="20"/>
              </w:rPr>
              <w:t>학술 / 연구기관</w:t>
            </w:r>
          </w:p>
          <w:p w14:paraId="6D4131FD" w14:textId="03E50A0C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Institut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Pasteur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7B65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논문 · KOL 영향력</w:t>
            </w:r>
          </w:p>
          <w:p w14:paraId="038BE69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공동연구 가치</w:t>
            </w:r>
          </w:p>
        </w:tc>
        <w:tc>
          <w:tcPr>
            <w:tcW w:w="170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978A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PoC 무상 / 공동연구 / 레퍼런스 확보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79EE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데이터 + KOL 논문</w:t>
            </w:r>
          </w:p>
          <w:p w14:paraId="5DD7C8C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(신뢰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모트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구축)</w:t>
            </w:r>
          </w:p>
        </w:tc>
        <w:tc>
          <w:tcPr>
            <w:tcW w:w="1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E515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 3순위</w:t>
            </w:r>
          </w:p>
          <w:p w14:paraId="03C412D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신뢰 인프라</w:t>
            </w:r>
          </w:p>
        </w:tc>
      </w:tr>
      <w:tr w:rsidR="00DF4202" w:rsidRPr="00AB5563" w14:paraId="1B4BAC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69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DD8C4" w14:textId="77777777" w:rsidR="00DF4202" w:rsidRPr="00D47540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</w:rPr>
            </w:pPr>
            <w:r w:rsidRPr="00D47540">
              <w:rPr>
                <w:rFonts w:asciiTheme="minorHAnsi" w:eastAsiaTheme="minorHAnsi" w:hAnsiTheme="minorHAnsi"/>
                <w:b/>
                <w:bCs/>
                <w:color w:val="1C2330"/>
                <w:sz w:val="20"/>
                <w:szCs w:val="20"/>
              </w:rPr>
              <w:t>화장품 제조사</w:t>
            </w:r>
          </w:p>
          <w:p w14:paraId="11118BCE" w14:textId="03C5C922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L'Oreal · LG생활건강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D24F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동물실험 금지 대응 (EU 2013~)</w:t>
            </w:r>
          </w:p>
        </w:tc>
        <w:tc>
          <w:tcPr>
            <w:tcW w:w="170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F19D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단일 피부 모델</w:t>
            </w:r>
          </w:p>
          <w:p w14:paraId="06BF940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Episkin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EpiDerm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)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F274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적합도 낮음</w:t>
            </w:r>
          </w:p>
          <w:p w14:paraId="3AB30BB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다장기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모사 불필요)</w:t>
            </w:r>
          </w:p>
        </w:tc>
        <w:tc>
          <w:tcPr>
            <w:tcW w:w="1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435A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비핵심</w:t>
            </w:r>
            <w:proofErr w:type="spellEnd"/>
          </w:p>
          <w:p w14:paraId="451A416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오버엔지니어링</w:t>
            </w:r>
          </w:p>
        </w:tc>
      </w:tr>
      <w:tr w:rsidR="00DF4202" w:rsidRPr="00AB5563" w14:paraId="12DDDCF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6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12DBDF9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왜 화장품 제조사는 핵심이 아닌가. </w:t>
            </w:r>
            <w:r w:rsidRPr="00AB5563">
              <w:rPr>
                <w:rFonts w:asciiTheme="minorHAnsi" w:eastAsiaTheme="minorHAnsi" w:hAnsiTheme="minorHAnsi"/>
                <w:color w:val="1C2330"/>
              </w:rPr>
              <w:t xml:space="preserve">화장품은 단일조직(피부) 안전성만 검증하므로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다장기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ADME 모사가 불필요하다. 3D 피부 모델로 충분하며,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는 신약 임상 예측에서 진짜 가치를 갖는다. 동물실험 대체 동인이 "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동물권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60%"인 시장에서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의 강점(48mm²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다장기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)은 가격 프리미엄을 정당화하지 못한다.</w:t>
            </w:r>
          </w:p>
        </w:tc>
      </w:tr>
    </w:tbl>
    <w:p w14:paraId="6472AB99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27" w:name="_Toc229316862"/>
      <w:r w:rsidRPr="00AB5563">
        <w:rPr>
          <w:rFonts w:asciiTheme="minorHAnsi" w:eastAsiaTheme="minorHAnsi" w:hAnsiTheme="minorHAnsi"/>
        </w:rPr>
        <w:lastRenderedPageBreak/>
        <w:t>7-2. 우선순위별 진입 전략</w:t>
      </w:r>
      <w:bookmarkEnd w:id="27"/>
    </w:p>
    <w:p w14:paraId="1E2DEB72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 xml:space="preserve">1순위 — 일본 </w:t>
      </w:r>
      <w:proofErr w:type="spellStart"/>
      <w:r w:rsidRPr="00AB5563">
        <w:rPr>
          <w:rFonts w:asciiTheme="minorHAnsi" w:eastAsiaTheme="minorHAnsi" w:hAnsiTheme="minorHAnsi"/>
        </w:rPr>
        <w:t>빅파마</w:t>
      </w:r>
      <w:proofErr w:type="spellEnd"/>
      <w:r w:rsidRPr="00AB5563">
        <w:rPr>
          <w:rFonts w:asciiTheme="minorHAnsi" w:eastAsiaTheme="minorHAnsi" w:hAnsiTheme="minorHAnsi"/>
        </w:rPr>
        <w:t xml:space="preserve"> R&amp;D 직판</w:t>
      </w:r>
    </w:p>
    <w:p w14:paraId="62AE263D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SPI(일본 대형 </w:t>
      </w:r>
      <w:proofErr w:type="spellStart"/>
      <w:r w:rsidRPr="00AB5563">
        <w:rPr>
          <w:rFonts w:asciiTheme="minorHAnsi" w:eastAsiaTheme="minorHAnsi" w:hAnsiTheme="minorHAnsi"/>
          <w:color w:val="1C2330"/>
        </w:rPr>
        <w:t>유통사</w:t>
      </w:r>
      <w:proofErr w:type="spellEnd"/>
      <w:r w:rsidRPr="00AB5563">
        <w:rPr>
          <w:rFonts w:asciiTheme="minorHAnsi" w:eastAsiaTheme="minorHAnsi" w:hAnsiTheme="minorHAnsi"/>
          <w:color w:val="1C2330"/>
        </w:rPr>
        <w:t>) 독점 계약 최종 조율 중 — 2026.01 MPS 컨퍼런스 부스 참석 완료</w:t>
      </w:r>
    </w:p>
    <w:p w14:paraId="4DFDEA58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Pre-Marketing 공동 조사 결과 — </w:t>
      </w:r>
      <w:r w:rsidRPr="00AB5563">
        <w:rPr>
          <w:rFonts w:asciiTheme="minorHAnsi" w:eastAsiaTheme="minorHAnsi" w:hAnsiTheme="minorHAnsi"/>
          <w:i/>
          <w:iCs/>
          <w:color w:val="0653B6"/>
        </w:rPr>
        <w:t>Daiichi-Sankyo, Eisai, Astellas: "</w:t>
      </w:r>
      <w:proofErr w:type="spellStart"/>
      <w:r w:rsidRPr="00AB5563">
        <w:rPr>
          <w:rFonts w:asciiTheme="minorHAnsi" w:eastAsiaTheme="minorHAnsi" w:hAnsiTheme="minorHAnsi"/>
          <w:i/>
          <w:iCs/>
          <w:color w:val="0653B6"/>
        </w:rPr>
        <w:t>OrganXpert</w:t>
      </w:r>
      <w:proofErr w:type="spellEnd"/>
      <w:r w:rsidRPr="00AB5563">
        <w:rPr>
          <w:rFonts w:asciiTheme="minorHAnsi" w:eastAsiaTheme="minorHAnsi" w:hAnsiTheme="minorHAnsi"/>
          <w:i/>
          <w:iCs/>
          <w:color w:val="0653B6"/>
        </w:rPr>
        <w:t>의 가격과 기능이 매력적"</w:t>
      </w:r>
    </w:p>
    <w:p w14:paraId="2114194C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SPI 커버리지: 일본 Top 10 제약사 100%, 학술/공립대학 89%</w:t>
      </w:r>
    </w:p>
    <w:p w14:paraId="1B1B3E98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Japan MPS Initiative 3rd Forum까지 개최 — 업계 수요 검증됨</w:t>
      </w:r>
    </w:p>
    <w:p w14:paraId="7F3D19B8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2순위 — 한국 CRO 서비스(</w:t>
      </w:r>
      <w:proofErr w:type="spellStart"/>
      <w:r w:rsidRPr="00AB5563">
        <w:rPr>
          <w:rFonts w:asciiTheme="minorHAnsi" w:eastAsiaTheme="minorHAnsi" w:hAnsiTheme="minorHAnsi"/>
        </w:rPr>
        <w:t>BiolabXpert</w:t>
      </w:r>
      <w:proofErr w:type="spellEnd"/>
      <w:r w:rsidRPr="00AB5563">
        <w:rPr>
          <w:rFonts w:asciiTheme="minorHAnsi" w:eastAsiaTheme="minorHAnsi" w:hAnsiTheme="minorHAnsi"/>
        </w:rPr>
        <w:t>)</w:t>
      </w:r>
    </w:p>
    <w:p w14:paraId="66109324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한국 시장은 장비 수요 미성숙 →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BiolabXpert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CRO 위탁 서비스로 진입</w:t>
      </w:r>
    </w:p>
    <w:p w14:paraId="24E9AA1D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CHEMONE 독점 계약 (2025.06): 연 매출 200억+, 100개+ 제약사·바이오 고객, 73개 협력사, 15개 해외 공식 대리점</w:t>
      </w:r>
    </w:p>
    <w:p w14:paraId="332FF2CD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K-</w:t>
      </w:r>
      <w:proofErr w:type="spellStart"/>
      <w:r w:rsidRPr="00AB5563">
        <w:rPr>
          <w:rFonts w:asciiTheme="minorHAnsi" w:eastAsiaTheme="minorHAnsi" w:hAnsiTheme="minorHAnsi"/>
          <w:color w:val="1C2330"/>
        </w:rPr>
        <w:t>오가노이드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컨소시엄 (2025.08 창립): 27개 기업 + 18개 기관 — </w:t>
      </w:r>
      <w:proofErr w:type="spellStart"/>
      <w:r w:rsidRPr="00AB5563">
        <w:rPr>
          <w:rFonts w:asciiTheme="minorHAnsi" w:eastAsiaTheme="minorHAnsi" w:hAnsiTheme="minorHAnsi"/>
          <w:color w:val="1C2330"/>
        </w:rPr>
        <w:t>삼성바이오로직스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· ROKIT Healthcare · JW중외제약 · HLB</w:t>
      </w:r>
      <w:proofErr w:type="spellStart"/>
      <w:r w:rsidRPr="00AB5563">
        <w:rPr>
          <w:rFonts w:asciiTheme="minorHAnsi" w:eastAsiaTheme="minorHAnsi" w:hAnsiTheme="minorHAnsi"/>
          <w:color w:val="1C2330"/>
        </w:rPr>
        <w:t>바이오스텝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등</w:t>
      </w:r>
    </w:p>
    <w:p w14:paraId="51827B43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3순위 — 학술·연구기관 KOL 레퍼런스</w:t>
      </w:r>
    </w:p>
    <w:p w14:paraId="15BF9C8C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Institut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Pasteur(프랑스): 15개 연구팀과 질환모델·</w:t>
      </w:r>
      <w:proofErr w:type="spellStart"/>
      <w:r w:rsidRPr="00AB5563">
        <w:rPr>
          <w:rFonts w:asciiTheme="minorHAnsi" w:eastAsiaTheme="minorHAnsi" w:hAnsiTheme="minorHAnsi"/>
          <w:color w:val="1C2330"/>
        </w:rPr>
        <w:t>약물효능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평가 공동연구 추진</w:t>
      </w:r>
    </w:p>
    <w:p w14:paraId="72E56D37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Children's Hospital LA: Kidney-on-Chip 공동연구 NDA 체결</w:t>
      </w:r>
    </w:p>
    <w:p w14:paraId="669BC652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BRUKER(독일): 분석장비 연동 통합 솔루션 — 유럽 시장 시너지</w:t>
      </w:r>
    </w:p>
    <w:p w14:paraId="011434D9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7F3C2260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28" w:name="_Toc229316863"/>
      <w:r w:rsidRPr="00AB5563">
        <w:rPr>
          <w:rFonts w:asciiTheme="minorHAnsi" w:eastAsiaTheme="minorHAnsi" w:hAnsiTheme="minorHAnsi"/>
        </w:rPr>
        <w:t>9. PESTEL/STP 기반 글로벌 진출 전략 — 시장별 포지셔닝</w:t>
      </w:r>
      <w:proofErr w:type="spellStart"/>
      <w:r w:rsidRPr="00AB5563">
        <w:rPr>
          <w:rFonts w:asciiTheme="minorHAnsi" w:eastAsiaTheme="minorHAnsi" w:hAnsiTheme="minorHAnsi"/>
        </w:rPr>
      </w:r>
      <w:proofErr w:type="spellEnd"/>
      <w:r w:rsidRPr="00AB5563">
        <w:rPr>
          <w:rFonts w:asciiTheme="minorHAnsi" w:eastAsiaTheme="minorHAnsi" w:hAnsiTheme="minorHAnsi"/>
        </w:rPr>
      </w:r>
      <w:bookmarkEnd w:id="28"/>
    </w:p>
    <w:p w14:paraId="40FFA9E6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29" w:name="_Toc229316864"/>
      <w:r w:rsidRPr="00AB5563">
        <w:rPr>
          <w:rFonts w:asciiTheme="minorHAnsi" w:eastAsiaTheme="minorHAnsi" w:hAnsiTheme="minorHAnsi"/>
        </w:rPr>
        <w:t>8-1. 왜 미국 + 일본인가 — 전략 조합의 논리</w:t>
      </w:r>
      <w:bookmarkEnd w:id="29"/>
    </w:p>
    <w:p w14:paraId="2B25A683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의 1순위 진출국은 미국과 일본이다. 두 시장은 서로 다른 가치를 제공하며, 하나만으로는 충분하지 않다. 미국은 "규제 표준"을, 일본은 "실리적 매출 레퍼런스"</w:t>
      </w:r>
      <w:proofErr w:type="spellStart"/>
      <w:r w:rsidRPr="00AB5563">
        <w:rPr>
          <w:rFonts w:asciiTheme="minorHAnsi" w:eastAsiaTheme="minorHAnsi" w:hAnsiTheme="minorHAnsi"/>
          <w:color w:val="1C2330"/>
        </w:rPr>
        <w:t>를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동시에 잡기 위한 필승 조합이다.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1530"/>
        <w:gridCol w:w="3890"/>
        <w:gridCol w:w="3890"/>
        <w:gridCol w:w="25"/>
      </w:tblGrid>
      <w:tr w:rsidR="00DF4202" w:rsidRPr="00AB5563" w14:paraId="006E7F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1560" w:type="dxa"/>
            <w:gridSpan w:val="2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1ADC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축</w:t>
            </w:r>
          </w:p>
        </w:tc>
        <w:tc>
          <w:tcPr>
            <w:tcW w:w="390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4A25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미국</w:t>
            </w:r>
          </w:p>
        </w:tc>
        <w:tc>
          <w:tcPr>
            <w:tcW w:w="390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5489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일본</w:t>
            </w:r>
          </w:p>
        </w:tc>
      </w:tr>
      <w:tr w:rsidR="00DF4202" w:rsidRPr="00AB5563" w14:paraId="5EDBF1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5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E946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전략적 가치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0A73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글로벌 규제 표준의 종착지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C906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아시아 제약 생태계의 교두보</w:t>
            </w:r>
          </w:p>
        </w:tc>
      </w:tr>
      <w:tr w:rsidR="00DF4202" w:rsidRPr="00AB5563" w14:paraId="3A17FA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5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0CCB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진입 트리거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AD2F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 Modernization Act 2.0 (2022.12) — 84년 만에 동물실험 의무 폐지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B131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Japan MPS Initiative — 장기 칩 실용화 정책적 지원, 한·미와 규제 정합성 높음</w:t>
            </w:r>
          </w:p>
        </w:tc>
      </w:tr>
      <w:tr w:rsidR="00DF4202" w:rsidRPr="00AB5563" w14:paraId="08176A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5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217F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인증 게이트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E053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 ISTAND Pilot — 통과 시 글로벌 비임상 표준 기술로 인정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C034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PMDA·MHLW 검토 — 한국 MFDS 자료 상호 활용 가능성</w:t>
            </w:r>
          </w:p>
        </w:tc>
      </w:tr>
      <w:tr w:rsidR="00DF4202" w:rsidRPr="00AB5563" w14:paraId="4AF1DC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5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CAB6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채널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95E0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CHLA(LA Children's Hospital) Kidney-on-Chip 공동연구 + Raritan Valley CC 교육시장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8D57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SPI 독점 — Top 10 제약사 100% · 학술 89% 즉시 진입</w:t>
            </w:r>
          </w:p>
        </w:tc>
      </w:tr>
      <w:tr w:rsidR="00DF4202" w:rsidRPr="00AB5563" w14:paraId="5FB81A9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5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46DF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검증 신호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B705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ISTAND 입구에 Emulate Liver-Chip이 LOI 단계 진입 (2024) — 경로 검증됨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1FB7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Daiichi-Sankyo · Eisai · Astellas Pre-Marketing 긍정 평가 (가격·기능)</w:t>
            </w:r>
          </w:p>
        </w:tc>
      </w:tr>
      <w:tr w:rsidR="00DF4202" w:rsidRPr="00AB5563" w14:paraId="15A7EF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5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09BA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타임라인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F064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12~18개월: PoC → CRO 파트너십, 24~36개월: ISTAND 진입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040E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즉시: 장비+소모품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본게임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, 6~12개월: 첫 매출 인식</w:t>
            </w:r>
          </w:p>
        </w:tc>
      </w:tr>
      <w:tr w:rsidR="00DF4202" w:rsidRPr="00AB5563" w14:paraId="342DA7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56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2E4C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역할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F050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장기 가치 — 표준·신뢰·밸류에이션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멀티플의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근거</w:t>
            </w:r>
          </w:p>
        </w:tc>
        <w:tc>
          <w:tcPr>
            <w:tcW w:w="390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09E8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단기 매출 —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캐시플로우와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사례 축적의 엔진</w:t>
            </w:r>
          </w:p>
        </w:tc>
      </w:tr>
      <w:tr w:rsidR="00DF4202" w:rsidRPr="00AB5563" w14:paraId="50A35D3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748F1E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핵심 논리. </w:t>
            </w:r>
            <w:r w:rsidRPr="00AB5563">
              <w:rPr>
                <w:rFonts w:asciiTheme="minorHAnsi" w:eastAsiaTheme="minorHAnsi" w:hAnsiTheme="minorHAnsi"/>
                <w:color w:val="1C2330"/>
              </w:rPr>
              <w:t xml:space="preserve">미국 단독 진출은 매출 회수가 늦고 인증 리스크가 크며, 일본 단독 진출은 "아시아 한정 플레이어"로 밸류에이션이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캡된다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. 두 축을 병행해야 단기 현금흐름과 장기 표준화 자산을 동시에 확보할 수 있다.</w:t>
            </w:r>
          </w:p>
        </w:tc>
      </w:tr>
    </w:tbl>
    <w:p w14:paraId="263B2533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0" w:name="_Toc229316865"/>
      <w:r w:rsidRPr="00AB5563">
        <w:rPr>
          <w:rFonts w:asciiTheme="minorHAnsi" w:eastAsiaTheme="minorHAnsi" w:hAnsiTheme="minorHAnsi"/>
        </w:rPr>
        <w:lastRenderedPageBreak/>
        <w:t>8-2. 미국 비임상 CRO 시장 — 규모 · 플레이어 · 진입 기회</w:t>
      </w:r>
      <w:bookmarkEnd w:id="30"/>
    </w:p>
    <w:p w14:paraId="460EEDCB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미국은 글로벌 비임상 CRO의 47%</w:t>
      </w:r>
      <w:proofErr w:type="spellStart"/>
      <w:r w:rsidRPr="00AB5563">
        <w:rPr>
          <w:rFonts w:asciiTheme="minorHAnsi" w:eastAsiaTheme="minorHAnsi" w:hAnsiTheme="minorHAnsi"/>
          <w:color w:val="1C2330"/>
        </w:rPr>
        <w:t>를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차지하는 단일 최대 시장이며, 동시에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채택을 가장 빠르게 진행 중인 시장이다.</w:t>
      </w:r>
    </w:p>
    <w:p w14:paraId="45C55D89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시장 규모와 성장 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2410"/>
        <w:gridCol w:w="4403"/>
      </w:tblGrid>
      <w:tr w:rsidR="00DF4202" w:rsidRPr="00AB5563" w14:paraId="507919FE" w14:textId="77777777" w:rsidTr="00D475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233F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지표</w:t>
            </w:r>
          </w:p>
        </w:tc>
        <w:tc>
          <w:tcPr>
            <w:tcW w:w="241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0C42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수치</w:t>
            </w:r>
          </w:p>
        </w:tc>
        <w:tc>
          <w:tcPr>
            <w:tcW w:w="4403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2E1B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출처·해설</w:t>
            </w:r>
          </w:p>
        </w:tc>
      </w:tr>
      <w:tr w:rsidR="00DF4202" w:rsidRPr="00AB5563" w14:paraId="0E0B3F98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7052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미국 전임상 CRO 시장 (2025)</w:t>
            </w:r>
          </w:p>
        </w:tc>
        <w:tc>
          <w:tcPr>
            <w:tcW w:w="241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9AF06" w14:textId="77777777" w:rsidR="00D47540" w:rsidRDefault="00000000">
            <w:pPr>
              <w:spacing w:line="280" w:lineRule="auto"/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약 26억 달러 </w:t>
            </w:r>
          </w:p>
          <w:p w14:paraId="49BEA2BB" w14:textId="0A12E7F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(</w:t>
            </w:r>
            <w:r w:rsidRPr="00AB5563">
              <w:rPr>
                <w:rFonts w:ascii="Cambria Math" w:eastAsiaTheme="minorHAnsi" w:hAnsi="Cambria Math" w:cs="Cambria Math"/>
                <w:color w:val="1C2330"/>
                <w:sz w:val="20"/>
                <w:szCs w:val="20"/>
              </w:rPr>
              <w:t>≈</w:t>
            </w: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3.5조원)</w:t>
            </w:r>
          </w:p>
        </w:tc>
        <w:tc>
          <w:tcPr>
            <w:tcW w:w="440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5C4C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Nova One Advisor</w:t>
            </w:r>
          </w:p>
        </w:tc>
      </w:tr>
      <w:tr w:rsidR="00DF4202" w:rsidRPr="00AB5563" w14:paraId="3912C48F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3654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미국 전임상 CRO 시장 (2035E)</w:t>
            </w:r>
          </w:p>
        </w:tc>
        <w:tc>
          <w:tcPr>
            <w:tcW w:w="241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ACC0C" w14:textId="77777777" w:rsidR="00D47540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약 61억 달러 </w:t>
            </w:r>
          </w:p>
          <w:p w14:paraId="11A09A47" w14:textId="167379F8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(</w:t>
            </w:r>
            <w:r w:rsidRPr="00AB5563">
              <w:rPr>
                <w:rFonts w:ascii="Cambria Math" w:eastAsiaTheme="minorHAnsi" w:hAnsi="Cambria Math" w:cs="Cambria Math"/>
                <w:b/>
                <w:bCs/>
                <w:color w:val="E22718"/>
                <w:sz w:val="20"/>
                <w:szCs w:val="20"/>
              </w:rPr>
              <w:t>≈</w:t>
            </w: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8.2조원)</w:t>
            </w:r>
          </w:p>
        </w:tc>
        <w:tc>
          <w:tcPr>
            <w:tcW w:w="440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B4E9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Nova One Advisor — 10년 내 2.3배</w:t>
            </w:r>
          </w:p>
        </w:tc>
      </w:tr>
      <w:tr w:rsidR="00DF4202" w:rsidRPr="00AB5563" w14:paraId="3820043E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9CD3C" w14:textId="77777777" w:rsidR="00D47540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북미 점유율 </w:t>
            </w:r>
          </w:p>
          <w:p w14:paraId="200B634A" w14:textId="56E92F56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(글로벌 기준)</w:t>
            </w:r>
          </w:p>
        </w:tc>
        <w:tc>
          <w:tcPr>
            <w:tcW w:w="241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CD05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47.14%</w:t>
            </w:r>
          </w:p>
        </w:tc>
        <w:tc>
          <w:tcPr>
            <w:tcW w:w="440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19E3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글로벌 전임상 CRO 중 단일 최대 비중 (2024)</w:t>
            </w:r>
          </w:p>
        </w:tc>
      </w:tr>
      <w:tr w:rsidR="00DF4202" w:rsidRPr="00AB5563" w14:paraId="675B1952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F8B0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글로벌 전임상 CRO (2026)</w:t>
            </w:r>
          </w:p>
        </w:tc>
        <w:tc>
          <w:tcPr>
            <w:tcW w:w="241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5507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약 82~95억 달러</w:t>
            </w:r>
          </w:p>
        </w:tc>
        <w:tc>
          <w:tcPr>
            <w:tcW w:w="440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D365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Mordor Intelligence · Nova One</w:t>
            </w:r>
          </w:p>
        </w:tc>
      </w:tr>
      <w:tr w:rsidR="00DF4202" w:rsidRPr="00AB5563" w14:paraId="7E1623B8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D1362" w14:textId="77777777" w:rsidR="00D47540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글로벌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시장 </w:t>
            </w:r>
          </w:p>
          <w:p w14:paraId="2CE75DF2" w14:textId="4D5100EB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(2024 → 2033)</w:t>
            </w:r>
          </w:p>
        </w:tc>
        <w:tc>
          <w:tcPr>
            <w:tcW w:w="241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BC9C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1.57억 → 22.4억 달러 (CAGR 34.3%)</w:t>
            </w:r>
          </w:p>
        </w:tc>
        <w:tc>
          <w:tcPr>
            <w:tcW w:w="440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7DDD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Astute Analytica</w:t>
            </w:r>
          </w:p>
        </w:tc>
      </w:tr>
      <w:tr w:rsidR="00DF4202" w:rsidRPr="00AB5563" w14:paraId="6FA64F35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546E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북미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점유율</w:t>
            </w:r>
          </w:p>
        </w:tc>
        <w:tc>
          <w:tcPr>
            <w:tcW w:w="241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DC58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43.80% (2025)</w:t>
            </w:r>
          </w:p>
        </w:tc>
        <w:tc>
          <w:tcPr>
            <w:tcW w:w="440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00CC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Fortune Business Insights</w:t>
            </w:r>
          </w:p>
        </w:tc>
      </w:tr>
    </w:tbl>
    <w:p w14:paraId="5A399133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주요 플레이어와 점유율 구조</w:t>
      </w:r>
    </w:p>
    <w:p w14:paraId="6D842F69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미국 비임상 CRO는 "중간 정도 집중(moderately consolidated)" 시장이다. Top 3가 매출의 절반 이상을 흡수하고, 그 아래로 </w:t>
      </w:r>
      <w:proofErr w:type="spellStart"/>
      <w:r w:rsidRPr="00AB5563">
        <w:rPr>
          <w:rFonts w:asciiTheme="minorHAnsi" w:eastAsiaTheme="minorHAnsi" w:hAnsiTheme="minorHAnsi"/>
          <w:color w:val="1C2330"/>
        </w:rPr>
        <w:t>PPD·Inotiv·Eurofins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등이 분야별 특화로 경쟁한다.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2668"/>
        <w:gridCol w:w="1743"/>
        <w:gridCol w:w="4262"/>
      </w:tblGrid>
      <w:tr w:rsidR="00DF4202" w:rsidRPr="00AB5563" w14:paraId="7179B845" w14:textId="77777777" w:rsidTr="00D475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BBFD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순위</w:t>
            </w:r>
          </w:p>
        </w:tc>
        <w:tc>
          <w:tcPr>
            <w:tcW w:w="2668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B55C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기업</w:t>
            </w:r>
          </w:p>
        </w:tc>
        <w:tc>
          <w:tcPr>
            <w:tcW w:w="1743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66F6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본사</w:t>
            </w:r>
          </w:p>
        </w:tc>
        <w:tc>
          <w:tcPr>
            <w:tcW w:w="4262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C0D5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포지션 / 점유 단서</w:t>
            </w:r>
          </w:p>
        </w:tc>
      </w:tr>
      <w:tr w:rsidR="00DF4202" w:rsidRPr="00AB5563" w14:paraId="0D8A8425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68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F2933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1</w:t>
            </w:r>
          </w:p>
        </w:tc>
        <w:tc>
          <w:tcPr>
            <w:tcW w:w="266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C663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Charles River Laboratories</w:t>
            </w:r>
          </w:p>
        </w:tc>
        <w:tc>
          <w:tcPr>
            <w:tcW w:w="174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A19E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미국 (MA)</w:t>
            </w:r>
          </w:p>
        </w:tc>
        <w:tc>
          <w:tcPr>
            <w:tcW w:w="426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0AF8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전임상 CRO 1위 —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Discovery·Safety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Assessment·Bioanalytical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풀스택</w:t>
            </w:r>
            <w:proofErr w:type="spellEnd"/>
          </w:p>
        </w:tc>
      </w:tr>
      <w:tr w:rsidR="00DF4202" w:rsidRPr="00AB5563" w14:paraId="5114AEDC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68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C3877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6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EE97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Labcorp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Drug Development</w:t>
            </w:r>
          </w:p>
        </w:tc>
        <w:tc>
          <w:tcPr>
            <w:tcW w:w="174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FA24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미국 (NC)</w:t>
            </w:r>
          </w:p>
        </w:tc>
        <w:tc>
          <w:tcPr>
            <w:tcW w:w="426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2013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구 Covance, 글로벌 2위 — 독성·임상 통합</w:t>
            </w:r>
          </w:p>
        </w:tc>
      </w:tr>
      <w:tr w:rsidR="00DF4202" w:rsidRPr="00AB5563" w14:paraId="3960D49A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68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503A4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</w:t>
            </w:r>
          </w:p>
        </w:tc>
        <w:tc>
          <w:tcPr>
            <w:tcW w:w="266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97CA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WuXi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AppTec</w:t>
            </w:r>
          </w:p>
        </w:tc>
        <w:tc>
          <w:tcPr>
            <w:tcW w:w="174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EDBF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중국 / 미국 거점</w:t>
            </w:r>
          </w:p>
        </w:tc>
        <w:tc>
          <w:tcPr>
            <w:tcW w:w="426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A7F4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약물 발굴~비임상 통합, 미국 정부 견제 속에도 Top 3 유지</w:t>
            </w:r>
          </w:p>
        </w:tc>
      </w:tr>
      <w:tr w:rsidR="00DF4202" w:rsidRPr="00AB5563" w14:paraId="67170FBE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68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8F8AD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4~6</w:t>
            </w:r>
          </w:p>
        </w:tc>
        <w:tc>
          <w:tcPr>
            <w:tcW w:w="266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8F1C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PPD 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Thermo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Fisher)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Inotiv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Eurofins</w:t>
            </w:r>
          </w:p>
        </w:tc>
        <w:tc>
          <w:tcPr>
            <w:tcW w:w="174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0D6A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미국 / 미국 / 룩셈부르크</w:t>
            </w:r>
          </w:p>
        </w:tc>
        <w:tc>
          <w:tcPr>
            <w:tcW w:w="426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6CF2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특정 분야(독성·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바이오분석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) 특화</w:t>
            </w:r>
          </w:p>
        </w:tc>
      </w:tr>
      <w:tr w:rsidR="00DF4202" w:rsidRPr="00AB5563" w14:paraId="1ACE73D7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68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3EBC6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직접경쟁군</w:t>
            </w:r>
          </w:p>
        </w:tc>
        <w:tc>
          <w:tcPr>
            <w:tcW w:w="266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8FF8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Emulate · CN Bio · MIMETAS ·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TissUse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·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InSphero</w:t>
            </w:r>
            <w:proofErr w:type="spellEnd"/>
          </w:p>
        </w:tc>
        <w:tc>
          <w:tcPr>
            <w:tcW w:w="174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F5D1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미국 / 영국 / NL / 독일 / 스위스</w:t>
            </w:r>
          </w:p>
        </w:tc>
        <w:tc>
          <w:tcPr>
            <w:tcW w:w="426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2478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CRO가 아닌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장비/플랫폼 경쟁 — Top 5가 글로벌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의 약 58% 점유</w:t>
            </w:r>
          </w:p>
        </w:tc>
      </w:tr>
    </w:tbl>
    <w:p w14:paraId="7D3EAD42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진입 기회 — "CRO</w:t>
      </w:r>
      <w:proofErr w:type="spellStart"/>
      <w:r w:rsidRPr="00AB5563">
        <w:rPr>
          <w:rFonts w:asciiTheme="minorHAnsi" w:eastAsiaTheme="minorHAnsi" w:hAnsiTheme="minorHAnsi"/>
        </w:rPr>
        <w:t>를</w:t>
      </w:r>
      <w:proofErr w:type="spellEnd"/>
      <w:r w:rsidRPr="00AB5563">
        <w:rPr>
          <w:rFonts w:asciiTheme="minorHAnsi" w:eastAsiaTheme="minorHAnsi" w:hAnsiTheme="minorHAnsi"/>
        </w:rPr>
        <w:t xml:space="preserve"> 직접 잡기"가 아닌 "CRO</w:t>
      </w:r>
      <w:proofErr w:type="spellStart"/>
      <w:r w:rsidRPr="00AB5563">
        <w:rPr>
          <w:rFonts w:asciiTheme="minorHAnsi" w:eastAsiaTheme="minorHAnsi" w:hAnsiTheme="minorHAnsi"/>
        </w:rPr>
        <w:t>를</w:t>
      </w:r>
      <w:proofErr w:type="spellEnd"/>
      <w:r w:rsidRPr="00AB5563">
        <w:rPr>
          <w:rFonts w:asciiTheme="minorHAnsi" w:eastAsiaTheme="minorHAnsi" w:hAnsiTheme="minorHAnsi"/>
        </w:rPr>
        <w:t xml:space="preserve"> 우회하기"</w:t>
      </w:r>
    </w:p>
    <w:p w14:paraId="6889B8FB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미국 진입은 Charles </w:t>
      </w:r>
      <w:proofErr w:type="spellStart"/>
      <w:r w:rsidRPr="00AB5563">
        <w:rPr>
          <w:rFonts w:asciiTheme="minorHAnsi" w:eastAsiaTheme="minorHAnsi" w:hAnsiTheme="minorHAnsi"/>
          <w:color w:val="1C2330"/>
        </w:rPr>
        <w:t>River·Labcorp</w:t>
      </w:r>
      <w:proofErr w:type="spellEnd"/>
      <w:r w:rsidRPr="00AB5563">
        <w:rPr>
          <w:rFonts w:asciiTheme="minorHAnsi" w:eastAsiaTheme="minorHAnsi" w:hAnsiTheme="minorHAnsi"/>
          <w:color w:val="1C2330"/>
        </w:rPr>
        <w:t>와 정면 경쟁하는 모델이 아니다. 두 가지 우회 경로가 표준이다.</w:t>
      </w:r>
    </w:p>
    <w:p w14:paraId="068A66B4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경로 A — 연구기관 PoC → </w:t>
      </w:r>
      <w:proofErr w:type="spellStart"/>
      <w:r w:rsidRPr="00AB5563">
        <w:rPr>
          <w:rFonts w:asciiTheme="minorHAnsi" w:eastAsiaTheme="minorHAnsi" w:hAnsiTheme="minorHAnsi"/>
          <w:b/>
          <w:bCs/>
          <w:color w:val="0F2244"/>
        </w:rPr>
        <w:t>빅파마</w:t>
      </w:r>
      <w:proofErr w:type="spellEnd"/>
      <w:r w:rsidRPr="00AB5563">
        <w:rPr>
          <w:rFonts w:asciiTheme="minorHAnsi" w:eastAsiaTheme="minorHAnsi" w:hAnsiTheme="minorHAnsi"/>
          <w:b/>
          <w:bCs/>
          <w:color w:val="0F2244"/>
        </w:rPr>
        <w:t xml:space="preserve"> 직판: </w:t>
      </w:r>
      <w:r w:rsidRPr="00AB5563">
        <w:rPr>
          <w:rFonts w:asciiTheme="minorHAnsi" w:eastAsiaTheme="minorHAnsi" w:hAnsiTheme="minorHAnsi"/>
          <w:color w:val="1C2330"/>
        </w:rPr>
        <w:t xml:space="preserve">CHLA Kidney-on-Chip 공동연구로 학술 레퍼런스 확보 → </w:t>
      </w:r>
      <w:proofErr w:type="spellStart"/>
      <w:r w:rsidRPr="00AB5563">
        <w:rPr>
          <w:rFonts w:asciiTheme="minorHAnsi" w:eastAsiaTheme="minorHAnsi" w:hAnsiTheme="minorHAnsi"/>
          <w:color w:val="1C2330"/>
        </w:rPr>
        <w:t>J&amp;J·Pfizer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등 </w:t>
      </w:r>
      <w:proofErr w:type="spellStart"/>
      <w:r w:rsidRPr="00AB5563">
        <w:rPr>
          <w:rFonts w:asciiTheme="minorHAnsi" w:eastAsiaTheme="minorHAnsi" w:hAnsiTheme="minorHAnsi"/>
          <w:color w:val="1C2330"/>
        </w:rPr>
        <w:t>빅파마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R&amp;D 부서에 직접 채택. Emulate가 동일 경로로 Top-tier 파마와 계약을 확보했다.</w:t>
      </w:r>
    </w:p>
    <w:p w14:paraId="0692C1FD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경로 B — CRO 파트너십 (장비 공급): </w:t>
      </w:r>
      <w:r w:rsidRPr="00AB5563">
        <w:rPr>
          <w:rFonts w:asciiTheme="minorHAnsi" w:eastAsiaTheme="minorHAnsi" w:hAnsiTheme="minorHAnsi"/>
          <w:color w:val="1C2330"/>
        </w:rPr>
        <w:t>Charles River 등 대형 CRO</w:t>
      </w:r>
      <w:proofErr w:type="spellStart"/>
      <w:r w:rsidRPr="00AB5563">
        <w:rPr>
          <w:rFonts w:asciiTheme="minorHAnsi" w:eastAsiaTheme="minorHAnsi" w:hAnsiTheme="minorHAnsi"/>
          <w:color w:val="1C2330"/>
        </w:rPr>
        <w:t>에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OrganXpert를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"옵션 서비스"로 공급. CRO는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자체개발 부담을 줄이고,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는 매출과 데이터 축적을 동시에 확보한다.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4202" w:rsidRPr="00AB5563" w14:paraId="00C27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728BC09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미국 진입의 진짜 게이트는 매출이 아닌 ISTAND 등재이다. </w:t>
            </w:r>
            <w:r w:rsidRPr="00AB5563">
              <w:rPr>
                <w:rFonts w:asciiTheme="minorHAnsi" w:eastAsiaTheme="minorHAnsi" w:hAnsiTheme="minorHAnsi"/>
                <w:color w:val="1C2330"/>
              </w:rPr>
              <w:t>ISTAND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에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Qualification Plan 단계로 진입하면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데이터는 "FDA가 인정한 비임상 모델로 생성된 데이터"가 된다. 이는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빅파마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도입 결정의 잠금장치(unlock)로 작동한다.</w:t>
            </w:r>
          </w:p>
        </w:tc>
      </w:tr>
    </w:tbl>
    <w:p w14:paraId="3F541533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1" w:name="_Toc229316866"/>
      <w:r w:rsidRPr="00AB5563">
        <w:rPr>
          <w:rFonts w:asciiTheme="minorHAnsi" w:eastAsiaTheme="minorHAnsi" w:hAnsiTheme="minorHAnsi"/>
        </w:rPr>
        <w:lastRenderedPageBreak/>
        <w:t>8-3. 일본 비임상 CRO 시장 — 규모 · 정책 · SPI 채널</w:t>
      </w:r>
      <w:bookmarkEnd w:id="31"/>
    </w:p>
    <w:p w14:paraId="17BE1C00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일본은 미국에 비해 시장 절대 규모는 작지만, 정책 일관성·채널 집중도·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기술 수용도 측면에서 "가장 빠른 매출 게이트"이다.</w:t>
      </w:r>
    </w:p>
    <w:p w14:paraId="7344DC1A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시장 규모와 성장 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3260"/>
        <w:gridCol w:w="2986"/>
      </w:tblGrid>
      <w:tr w:rsidR="00DF4202" w:rsidRPr="00AB5563" w14:paraId="51B96596" w14:textId="77777777" w:rsidTr="00D475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CC2D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지표</w:t>
            </w:r>
          </w:p>
        </w:tc>
        <w:tc>
          <w:tcPr>
            <w:tcW w:w="32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A78A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수치</w:t>
            </w:r>
          </w:p>
        </w:tc>
        <w:tc>
          <w:tcPr>
            <w:tcW w:w="298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3AFB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출처·해설</w:t>
            </w:r>
          </w:p>
        </w:tc>
      </w:tr>
      <w:tr w:rsidR="00DF4202" w:rsidRPr="00AB5563" w14:paraId="33149B67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AFE5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일본 전임상 CRO 시장 (2024)</w:t>
            </w:r>
          </w:p>
        </w:tc>
        <w:tc>
          <w:tcPr>
            <w:tcW w:w="32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D0B9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2.43억 달러 (</w:t>
            </w:r>
            <w:r w:rsidRPr="00AB5563">
              <w:rPr>
                <w:rFonts w:ascii="Cambria Math" w:eastAsiaTheme="minorHAnsi" w:hAnsi="Cambria Math" w:cs="Cambria Math"/>
                <w:color w:val="1C2330"/>
                <w:sz w:val="20"/>
                <w:szCs w:val="20"/>
              </w:rPr>
              <w:t>≈</w:t>
            </w: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3,260억원)</w:t>
            </w:r>
          </w:p>
        </w:tc>
        <w:tc>
          <w:tcPr>
            <w:tcW w:w="29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05C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IMARC Group</w:t>
            </w:r>
          </w:p>
        </w:tc>
      </w:tr>
      <w:tr w:rsidR="00DF4202" w:rsidRPr="00AB5563" w14:paraId="70C756BB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A9ED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일본 전임상 CRO (2030E)</w:t>
            </w:r>
          </w:p>
        </w:tc>
        <w:tc>
          <w:tcPr>
            <w:tcW w:w="32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CE24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3.17억 달러 (</w:t>
            </w:r>
            <w:r w:rsidRPr="00AB5563">
              <w:rPr>
                <w:rFonts w:ascii="Cambria Math" w:eastAsiaTheme="minorHAnsi" w:hAnsi="Cambria Math" w:cs="Cambria Math"/>
                <w:color w:val="1C2330"/>
                <w:sz w:val="20"/>
                <w:szCs w:val="20"/>
              </w:rPr>
              <w:t>≈</w:t>
            </w: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4,250억원)</w:t>
            </w:r>
          </w:p>
        </w:tc>
        <w:tc>
          <w:tcPr>
            <w:tcW w:w="29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1391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Vision Research — CAGR 8.1%</w:t>
            </w:r>
          </w:p>
        </w:tc>
      </w:tr>
      <w:tr w:rsidR="00DF4202" w:rsidRPr="00AB5563" w14:paraId="2244E3F2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7330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일본 전임상 CRO (2033E)</w:t>
            </w:r>
          </w:p>
        </w:tc>
        <w:tc>
          <w:tcPr>
            <w:tcW w:w="32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E61F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5.40억 달러 (</w:t>
            </w:r>
            <w:r w:rsidRPr="00AB5563">
              <w:rPr>
                <w:rFonts w:ascii="Cambria Math" w:eastAsiaTheme="minorHAnsi" w:hAnsi="Cambria Math" w:cs="Cambria Math"/>
                <w:b/>
                <w:bCs/>
                <w:color w:val="E22718"/>
                <w:sz w:val="20"/>
                <w:szCs w:val="20"/>
              </w:rPr>
              <w:t>≈</w:t>
            </w: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7,240억원)</w:t>
            </w:r>
          </w:p>
        </w:tc>
        <w:tc>
          <w:tcPr>
            <w:tcW w:w="29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0742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IMARC — CAGR 8.3%</w:t>
            </w:r>
          </w:p>
        </w:tc>
      </w:tr>
      <w:tr w:rsidR="00DF4202" w:rsidRPr="00AB5563" w14:paraId="0EBE4EF8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9845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AMED 비임상 R&amp;D 지원 예산</w:t>
            </w:r>
          </w:p>
        </w:tc>
        <w:tc>
          <w:tcPr>
            <w:tcW w:w="32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6FE1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연 1,000억엔 규모 (</w:t>
            </w:r>
            <w:r w:rsidRPr="00AB5563">
              <w:rPr>
                <w:rFonts w:ascii="Cambria Math" w:eastAsiaTheme="minorHAnsi" w:hAnsi="Cambria Math" w:cs="Cambria Math"/>
                <w:color w:val="1C2330"/>
                <w:sz w:val="20"/>
                <w:szCs w:val="20"/>
              </w:rPr>
              <w:t>≈</w:t>
            </w: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9,000억원)</w:t>
            </w:r>
          </w:p>
        </w:tc>
        <w:tc>
          <w:tcPr>
            <w:tcW w:w="29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F3F5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AMED 종합전략 (2024~2028)</w:t>
            </w:r>
          </w:p>
        </w:tc>
      </w:tr>
      <w:tr w:rsidR="00DF4202" w:rsidRPr="00AB5563" w14:paraId="68180213" w14:textId="77777777" w:rsidTr="00D47540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8297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일본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채택 의지</w:t>
            </w:r>
          </w:p>
        </w:tc>
        <w:tc>
          <w:tcPr>
            <w:tcW w:w="32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B2B2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Top 10 제약사 100% 검토 중</w:t>
            </w:r>
          </w:p>
        </w:tc>
        <w:tc>
          <w:tcPr>
            <w:tcW w:w="298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3FD4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자체 Pre-Marketing</w:t>
            </w:r>
          </w:p>
        </w:tc>
      </w:tr>
    </w:tbl>
    <w:p w14:paraId="7C149413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정책 구조 — Japan MPS Initiative</w:t>
      </w:r>
    </w:p>
    <w:p w14:paraId="3C81A2CD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일본 후생노동성(MHLW)·AMED가 주도하는 Japan MPS Initiative는 장기 칩(MPS, </w:t>
      </w:r>
      <w:proofErr w:type="spellStart"/>
      <w:r w:rsidRPr="00AB5563">
        <w:rPr>
          <w:rFonts w:asciiTheme="minorHAnsi" w:eastAsiaTheme="minorHAnsi" w:hAnsiTheme="minorHAnsi"/>
          <w:color w:val="1C2330"/>
        </w:rPr>
        <w:t>Microphysiological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Systems)을 비임상 표준으로 끌어올리기 위한 다자 컨소시엄이다. 한국·미국과 규제 정합성이 높아,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가 한국에서 축적한 검증 데이터가 일본에서도 즉시 활용 가능하다.</w:t>
      </w:r>
    </w:p>
    <w:p w14:paraId="544F5CBA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AMED — 의약품 평가용 MPS 개발 </w:t>
      </w:r>
      <w:proofErr w:type="spellStart"/>
      <w:r w:rsidRPr="00AB5563">
        <w:rPr>
          <w:rFonts w:asciiTheme="minorHAnsi" w:eastAsiaTheme="minorHAnsi" w:hAnsiTheme="minorHAnsi"/>
          <w:color w:val="1C2330"/>
        </w:rPr>
        <w:t>펀딩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(2017~ 지속, 2026 추가 라운드 예정)</w:t>
      </w:r>
    </w:p>
    <w:p w14:paraId="03A525A3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PMDA — MPS 데이터 활용 가이드라인 초안 작성 진행 중 (한국 MFDS와 양자 협력)</w:t>
      </w:r>
    </w:p>
    <w:p w14:paraId="71A19E6D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Japan MPS Initiative 포럼 — 산·학·관 정기 회의체,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부스 참여 (2026.01 + 3rd Forum)</w:t>
      </w:r>
    </w:p>
    <w:p w14:paraId="6047AEFC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SPI 독점 채널의 의미</w:t>
      </w:r>
    </w:p>
    <w:p w14:paraId="3910EF43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SPI(Scientific Pharmaceutical Industry)는 일본 제약·연구 장비 유통의 메이저 채널이다. 이 채널 한 곳을 잡는 것이 일본 Top 10 제약사 영업망 전체를 잡는 것과 거의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3087"/>
        <w:gridCol w:w="6223"/>
        <w:gridCol w:w="25"/>
      </w:tblGrid>
      <w:tr w:rsidR="00DF4202" w:rsidRPr="00AB5563" w14:paraId="42243F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3120" w:type="dxa"/>
            <w:gridSpan w:val="2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79E8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lastRenderedPageBreak/>
              <w:t>커버리지 항목</w:t>
            </w:r>
          </w:p>
        </w:tc>
        <w:tc>
          <w:tcPr>
            <w:tcW w:w="624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97BE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SPI 채널 점유</w:t>
            </w:r>
          </w:p>
        </w:tc>
      </w:tr>
      <w:tr w:rsidR="00DF4202" w:rsidRPr="00AB5563" w14:paraId="7ACE56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6ACC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일본 Top 10 제약사</w:t>
            </w:r>
          </w:p>
        </w:tc>
        <w:tc>
          <w:tcPr>
            <w:tcW w:w="62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F94D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100% (Daiichi-Sankyo · Takeda · Astellas · Eisai · Otsuka 등)</w:t>
            </w:r>
          </w:p>
        </w:tc>
      </w:tr>
      <w:tr w:rsidR="00DF4202" w:rsidRPr="00AB5563" w14:paraId="4EBE74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458E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주요 대학·국가연구기관</w:t>
            </w:r>
          </w:p>
        </w:tc>
        <w:tc>
          <w:tcPr>
            <w:tcW w:w="62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42A7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89%</w:t>
            </w:r>
          </w:p>
        </w:tc>
      </w:tr>
      <w:tr w:rsidR="00DF4202" w:rsidRPr="00AB5563" w14:paraId="776A159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64DB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사전 검증 완료 제약사</w:t>
            </w:r>
          </w:p>
        </w:tc>
        <w:tc>
          <w:tcPr>
            <w:tcW w:w="62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0B3A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Daiichi-Sankyo · Eisai · Astellas — 가격·기능 긍정 평가</w:t>
            </w:r>
          </w:p>
        </w:tc>
      </w:tr>
      <w:tr w:rsidR="00DF4202" w:rsidRPr="00AB5563" w14:paraId="7A2C82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C2E7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계약 형태</w:t>
            </w:r>
          </w:p>
        </w:tc>
        <w:tc>
          <w:tcPr>
            <w:tcW w:w="62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F131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독점 유통 — 경쟁사 진입 시 채널 충돌</w:t>
            </w:r>
          </w:p>
        </w:tc>
      </w:tr>
      <w:tr w:rsidR="00DF4202" w:rsidRPr="00AB5563" w14:paraId="1A77873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89EADA0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일본 진입의 진짜 가치는 매출이 아니라 "검증 사례"이다. </w:t>
            </w:r>
            <w:r w:rsidRPr="00AB5563">
              <w:rPr>
                <w:rFonts w:asciiTheme="minorHAnsi" w:eastAsiaTheme="minorHAnsi" w:hAnsiTheme="minorHAnsi"/>
                <w:color w:val="1C2330"/>
              </w:rPr>
              <w:t>Daiichi-Sankyo의 첫 유료 계약은 매출 자체보다 "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빅파마가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데이터로 IND 패키지를 구성했다"는 사실 자체가 미국·유럽 영업의 가장 강력한 영업자료가 된다.</w:t>
            </w:r>
          </w:p>
        </w:tc>
      </w:tr>
    </w:tbl>
    <w:p w14:paraId="768A9294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2" w:name="_Toc229316867"/>
      <w:r w:rsidRPr="00AB5563">
        <w:rPr>
          <w:rFonts w:asciiTheme="minorHAnsi" w:eastAsiaTheme="minorHAnsi" w:hAnsiTheme="minorHAnsi"/>
        </w:rPr>
        <w:t xml:space="preserve">8-4. 글로벌 </w:t>
      </w:r>
      <w:proofErr w:type="spellStart"/>
      <w:r w:rsidRPr="00AB5563">
        <w:rPr>
          <w:rFonts w:asciiTheme="minorHAnsi" w:eastAsiaTheme="minorHAnsi" w:hAnsiTheme="minorHAnsi"/>
        </w:rPr>
        <w:t>OoC</w:t>
      </w:r>
      <w:proofErr w:type="spellEnd"/>
      <w:r w:rsidRPr="00AB5563">
        <w:rPr>
          <w:rFonts w:asciiTheme="minorHAnsi" w:eastAsiaTheme="minorHAnsi" w:hAnsiTheme="minorHAnsi"/>
        </w:rPr>
        <w:t xml:space="preserve"> 경쟁사 매트릭스 — 누구와 싸우는가</w:t>
      </w:r>
      <w:bookmarkEnd w:id="32"/>
    </w:p>
    <w:p w14:paraId="3D263CEA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가 직접 경쟁하는 시장은 "전임상 CRO 전체"가 아니라 "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장비/플랫폼" 시장이다. 이 시장은 글로벌 Top 5가 약 58%를 점유하는 과점 구조이며, 명확한 1위 Emulate</w:t>
      </w:r>
      <w:proofErr w:type="spellStart"/>
      <w:r w:rsidRPr="00AB5563">
        <w:rPr>
          <w:rFonts w:asciiTheme="minorHAnsi" w:eastAsiaTheme="minorHAnsi" w:hAnsiTheme="minorHAnsi"/>
          <w:color w:val="1C2330"/>
        </w:rPr>
        <w:t>를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중심으로 차별화 경쟁이 진행되고 있다.</w:t>
      </w:r>
    </w:p>
    <w:p w14:paraId="7EFBAE4D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주요 플레이어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1478"/>
        <w:gridCol w:w="1971"/>
        <w:gridCol w:w="2463"/>
        <w:gridCol w:w="1970"/>
      </w:tblGrid>
      <w:tr w:rsidR="00DF4202" w:rsidRPr="00AB5563" w14:paraId="3277A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8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AC34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기업</w:t>
            </w:r>
          </w:p>
        </w:tc>
        <w:tc>
          <w:tcPr>
            <w:tcW w:w="1478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12AB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본사 / 설립</w:t>
            </w:r>
          </w:p>
        </w:tc>
        <w:tc>
          <w:tcPr>
            <w:tcW w:w="1971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09EB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대표 플랫폼</w:t>
            </w:r>
          </w:p>
        </w:tc>
        <w:tc>
          <w:tcPr>
            <w:tcW w:w="2463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5FCC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강점</w:t>
            </w:r>
          </w:p>
        </w:tc>
        <w:tc>
          <w:tcPr>
            <w:tcW w:w="197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FCC9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약점</w:t>
            </w:r>
          </w:p>
        </w:tc>
      </w:tr>
      <w:tr w:rsidR="00DF4202" w:rsidRPr="00AB5563" w14:paraId="01A246BD" w14:textId="77777777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822F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Emulate</w:t>
            </w:r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285F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미국 / 2014</w:t>
            </w:r>
          </w:p>
        </w:tc>
        <w:tc>
          <w:tcPr>
            <w:tcW w:w="197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9666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Human Emulation System</w:t>
            </w:r>
          </w:p>
        </w:tc>
        <w:tc>
          <w:tcPr>
            <w:tcW w:w="24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BA22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FDA 협력 1위 · J&amp;J · Pfizer 채택</w:t>
            </w:r>
          </w:p>
        </w:tc>
        <w:tc>
          <w:tcPr>
            <w:tcW w:w="197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815A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고가, 칩 면적 협소(17.1mm²)</w:t>
            </w:r>
          </w:p>
        </w:tc>
      </w:tr>
      <w:tr w:rsidR="00DF4202" w:rsidRPr="00AB5563" w14:paraId="3FA4F417" w14:textId="77777777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0693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MIMETAS</w:t>
            </w:r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0874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네덜란드 / 2013</w:t>
            </w:r>
          </w:p>
        </w:tc>
        <w:tc>
          <w:tcPr>
            <w:tcW w:w="197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3AC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OrganoPlate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(3-Lane · 64-Chip)</w:t>
            </w:r>
          </w:p>
        </w:tc>
        <w:tc>
          <w:tcPr>
            <w:tcW w:w="24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5E6E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초고처리량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(64 well)</w:t>
            </w:r>
          </w:p>
        </w:tc>
        <w:tc>
          <w:tcPr>
            <w:tcW w:w="197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7A9A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면적 0.57mm² · 독립 제어 불가</w:t>
            </w:r>
          </w:p>
        </w:tc>
      </w:tr>
      <w:tr w:rsidR="00DF4202" w:rsidRPr="00AB5563" w14:paraId="4ABE59D3" w14:textId="77777777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4F09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CN Bio Innovations</w:t>
            </w:r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DDF3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영국 / 2009</w:t>
            </w:r>
          </w:p>
        </w:tc>
        <w:tc>
          <w:tcPr>
            <w:tcW w:w="197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81F9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PhysioMimix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(</w:t>
            </w:r>
            <w:proofErr w:type="gram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Multi-organ</w:t>
            </w:r>
            <w:proofErr w:type="gram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)</w:t>
            </w:r>
          </w:p>
        </w:tc>
        <w:tc>
          <w:tcPr>
            <w:tcW w:w="24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08D9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다장기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시뮬레이션 강세</w:t>
            </w:r>
          </w:p>
        </w:tc>
        <w:tc>
          <w:tcPr>
            <w:tcW w:w="197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4BA5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장비 단가 높음 · 한국·일본 채널 약함</w:t>
            </w:r>
          </w:p>
        </w:tc>
      </w:tr>
      <w:tr w:rsidR="00DF4202" w:rsidRPr="00AB5563" w14:paraId="3309F72A" w14:textId="77777777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8DDE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TissUse</w:t>
            </w:r>
            <w:proofErr w:type="spellEnd"/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5B02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독일 / 2010</w:t>
            </w:r>
          </w:p>
        </w:tc>
        <w:tc>
          <w:tcPr>
            <w:tcW w:w="197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280D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HUMIMIC Multi-</w:t>
            </w: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lastRenderedPageBreak/>
              <w:t>Organ-Chip</w:t>
            </w:r>
          </w:p>
        </w:tc>
        <w:tc>
          <w:tcPr>
            <w:tcW w:w="24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64B7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lastRenderedPageBreak/>
              <w:t>다장기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폐쇄 회로</w:t>
            </w:r>
          </w:p>
        </w:tc>
        <w:tc>
          <w:tcPr>
            <w:tcW w:w="197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A025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스루풋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낮음 · 상업</w:t>
            </w: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lastRenderedPageBreak/>
              <w:t>화 진척 더딤</w:t>
            </w:r>
          </w:p>
        </w:tc>
      </w:tr>
      <w:tr w:rsidR="00DF4202" w:rsidRPr="00AB5563" w14:paraId="5A7CFDD7" w14:textId="77777777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BDB7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lastRenderedPageBreak/>
              <w:t>InSphero</w:t>
            </w:r>
            <w:proofErr w:type="spellEnd"/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EB8C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스위스 / 2009</w:t>
            </w:r>
          </w:p>
        </w:tc>
        <w:tc>
          <w:tcPr>
            <w:tcW w:w="197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3504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Akura Plate (3D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스페로이드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)</w:t>
            </w:r>
          </w:p>
        </w:tc>
        <w:tc>
          <w:tcPr>
            <w:tcW w:w="24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BB79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인접 영역(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스페로이드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) 톱 플레이어</w:t>
            </w:r>
          </w:p>
        </w:tc>
        <w:tc>
          <w:tcPr>
            <w:tcW w:w="197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F091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엄밀한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정의 외부 — 경계 사례</w:t>
            </w:r>
          </w:p>
        </w:tc>
      </w:tr>
      <w:tr w:rsidR="00DF4202" w:rsidRPr="00AB5563" w14:paraId="22783618" w14:textId="77777777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3015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BioSpero</w:t>
            </w:r>
            <w:proofErr w:type="spellEnd"/>
          </w:p>
        </w:tc>
        <w:tc>
          <w:tcPr>
            <w:tcW w:w="147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63C9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한국 / 2019</w:t>
            </w:r>
          </w:p>
        </w:tc>
        <w:tc>
          <w:tcPr>
            <w:tcW w:w="197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F679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BiolabXpert</w:t>
            </w:r>
            <w:proofErr w:type="spellEnd"/>
          </w:p>
        </w:tc>
        <w:tc>
          <w:tcPr>
            <w:tcW w:w="246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5D39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48mm² 면적 · 연동펌프 · CRO 서비스 결합</w:t>
            </w:r>
          </w:p>
        </w:tc>
        <w:tc>
          <w:tcPr>
            <w:tcW w:w="197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20EA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글로벌 인지도 낮음 · 11명 팀 규모</w:t>
            </w:r>
          </w:p>
        </w:tc>
      </w:tr>
    </w:tbl>
    <w:p w14:paraId="78BFF701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점유 구조 — 누가 얼마를 가져가는가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641"/>
        <w:gridCol w:w="3997"/>
        <w:gridCol w:w="2672"/>
        <w:gridCol w:w="25"/>
      </w:tblGrid>
      <w:tr w:rsidR="00DF4202" w:rsidRPr="00AB5563" w14:paraId="5735C5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674" w:type="dxa"/>
            <w:gridSpan w:val="2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3DBB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4011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1138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점유율 / 매출 단서</w:t>
            </w:r>
          </w:p>
        </w:tc>
        <w:tc>
          <w:tcPr>
            <w:tcW w:w="267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6513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출처</w:t>
            </w:r>
          </w:p>
        </w:tc>
      </w:tr>
      <w:tr w:rsidR="00DF4202" w:rsidRPr="00AB5563" w14:paraId="4F41C0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74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1E86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Emulate (1위)</w:t>
            </w:r>
          </w:p>
        </w:tc>
        <w:tc>
          <w:tcPr>
            <w:tcW w:w="40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D091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글로벌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단일 최대 — 누적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펀딩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2.5억 달러+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36DA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MarketsandMarkets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CB Insights</w:t>
            </w:r>
          </w:p>
        </w:tc>
      </w:tr>
      <w:tr w:rsidR="00DF4202" w:rsidRPr="00AB5563" w14:paraId="3B3DFF1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74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D617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MIMETAS</w:t>
            </w:r>
          </w:p>
        </w:tc>
        <w:tc>
          <w:tcPr>
            <w:tcW w:w="40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0D61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EU 시장 강세 —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Roche·AZ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협력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3061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GlobeNewswire 2025</w:t>
            </w:r>
          </w:p>
        </w:tc>
      </w:tr>
      <w:tr w:rsidR="00DF4202" w:rsidRPr="00AB5563" w14:paraId="3783A01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74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0FC6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InSphero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+ CN Bio +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TissUse</w:t>
            </w:r>
            <w:proofErr w:type="spellEnd"/>
          </w:p>
        </w:tc>
        <w:tc>
          <w:tcPr>
            <w:tcW w:w="40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0322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각 1자리수~10% 추정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1764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MarketsandMarkets</w:t>
            </w:r>
            <w:proofErr w:type="spellEnd"/>
          </w:p>
        </w:tc>
      </w:tr>
      <w:tr w:rsidR="00DF4202" w:rsidRPr="00AB5563" w14:paraId="6F3D8B6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74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2716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Top 5 합산</w:t>
            </w:r>
          </w:p>
        </w:tc>
        <w:tc>
          <w:tcPr>
            <w:tcW w:w="40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5090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글로벌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시장의 약 58%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758F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Fortune Business Insights</w:t>
            </w:r>
          </w:p>
        </w:tc>
      </w:tr>
      <w:tr w:rsidR="00DF4202" w:rsidRPr="00AB5563" w14:paraId="5B4C9F5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74" w:type="dxa"/>
            <w:gridSpan w:val="2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A79D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기타 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포함)</w:t>
            </w:r>
          </w:p>
        </w:tc>
        <w:tc>
          <w:tcPr>
            <w:tcW w:w="40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0EB3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="Cambria Math" w:eastAsiaTheme="minorHAnsi" w:hAnsi="Cambria Math" w:cs="Cambria Math"/>
                <w:color w:val="1C2330"/>
                <w:sz w:val="20"/>
                <w:szCs w:val="20"/>
              </w:rPr>
              <w:t>≈</w:t>
            </w: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42% — Long tail · 지역 특화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CB37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복수 종합</w:t>
            </w:r>
          </w:p>
        </w:tc>
      </w:tr>
      <w:tr w:rsidR="00DF4202" w:rsidRPr="00AB5563" w14:paraId="277F11B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89834E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의 포지션. </w:t>
            </w:r>
            <w:r w:rsidRPr="00AB5563">
              <w:rPr>
                <w:rFonts w:asciiTheme="minorHAnsi" w:eastAsiaTheme="minorHAnsi" w:hAnsiTheme="minorHAnsi"/>
                <w:color w:val="1C2330"/>
              </w:rPr>
              <w:t>1위(Emulate)와 정면 경쟁이 아닌, "아시아 + Multi-Organ + 대용량 분석"이라는 좁고 명확한 빈 자리(white space)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에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들어간다. Emulate는 미국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빅파마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, MIMETAS는 EU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고처리량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— 일본·아시아 + 대용량 + CRO 결합 모델은 명백히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비어있다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.</w:t>
            </w:r>
          </w:p>
        </w:tc>
      </w:tr>
    </w:tbl>
    <w:p w14:paraId="0A1CB083" w14:textId="77777777" w:rsidR="00D47540" w:rsidRDefault="00D47540">
      <w:pPr>
        <w:pStyle w:val="2"/>
        <w:rPr>
          <w:rFonts w:asciiTheme="minorHAnsi" w:eastAsiaTheme="minorHAnsi" w:hAnsiTheme="minorHAnsi"/>
        </w:rPr>
      </w:pPr>
      <w:bookmarkStart w:id="33" w:name="_Toc229316868"/>
    </w:p>
    <w:p w14:paraId="3160E929" w14:textId="77777777" w:rsidR="00D47540" w:rsidRDefault="00D47540">
      <w:pPr>
        <w:pStyle w:val="2"/>
        <w:rPr>
          <w:rFonts w:asciiTheme="minorHAnsi" w:eastAsiaTheme="minorHAnsi" w:hAnsiTheme="minorHAnsi"/>
        </w:rPr>
      </w:pPr>
    </w:p>
    <w:p w14:paraId="66A0A5DA" w14:textId="77777777" w:rsidR="00D47540" w:rsidRDefault="00D47540">
      <w:pPr>
        <w:pStyle w:val="2"/>
        <w:rPr>
          <w:rFonts w:asciiTheme="minorHAnsi" w:eastAsiaTheme="minorHAnsi" w:hAnsiTheme="minorHAnsi"/>
        </w:rPr>
      </w:pPr>
    </w:p>
    <w:p w14:paraId="50D867A9" w14:textId="6DDD8768" w:rsidR="00DF4202" w:rsidRPr="00AB5563" w:rsidRDefault="00000000">
      <w:pPr>
        <w:pStyle w:val="2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lastRenderedPageBreak/>
        <w:t xml:space="preserve">8-5. </w:t>
      </w:r>
      <w:proofErr w:type="spellStart"/>
      <w:r w:rsidRPr="00AB5563">
        <w:rPr>
          <w:rFonts w:asciiTheme="minorHAnsi" w:eastAsiaTheme="minorHAnsi" w:hAnsiTheme="minorHAnsi"/>
        </w:rPr>
        <w:t>BioSpero</w:t>
      </w:r>
      <w:proofErr w:type="spellEnd"/>
      <w:r w:rsidRPr="00AB5563">
        <w:rPr>
          <w:rFonts w:asciiTheme="minorHAnsi" w:eastAsiaTheme="minorHAnsi" w:hAnsiTheme="minorHAnsi"/>
        </w:rPr>
        <w:t>의 기술적 승산 — 3대 차별 포인트</w:t>
      </w:r>
      <w:bookmarkEnd w:id="33"/>
    </w:p>
    <w:p w14:paraId="190D9CBB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기술 차별화는 막연한 "우수성"이 아니라 "Emulate 대비 정량적 우위"로만 의미가 있다.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가 글로벌 1위 대비 명확히 우위를 갖는 세 가지 정량 포인트는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1473"/>
        <w:gridCol w:w="1701"/>
        <w:gridCol w:w="1984"/>
        <w:gridCol w:w="2419"/>
      </w:tblGrid>
      <w:tr w:rsidR="00DF4202" w:rsidRPr="00AB5563" w14:paraId="69E0C660" w14:textId="77777777" w:rsidTr="005D58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3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27FB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차별 축</w:t>
            </w:r>
          </w:p>
        </w:tc>
        <w:tc>
          <w:tcPr>
            <w:tcW w:w="1473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A316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Emulate (1위)</w:t>
            </w:r>
          </w:p>
        </w:tc>
        <w:tc>
          <w:tcPr>
            <w:tcW w:w="1701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6E0F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BioSpero</w:t>
            </w:r>
            <w:proofErr w:type="spellEnd"/>
          </w:p>
        </w:tc>
        <w:tc>
          <w:tcPr>
            <w:tcW w:w="198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035D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정량 우위</w:t>
            </w:r>
          </w:p>
        </w:tc>
        <w:tc>
          <w:tcPr>
            <w:tcW w:w="2419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DA2F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의미</w:t>
            </w:r>
          </w:p>
        </w:tc>
      </w:tr>
      <w:tr w:rsidR="00DF4202" w:rsidRPr="00AB5563" w14:paraId="78F26461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72E0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1. 분석 용량 (Analytical Capability)</w:t>
            </w:r>
          </w:p>
        </w:tc>
        <w:tc>
          <w:tcPr>
            <w:tcW w:w="147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CFA7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17.1mm² · ≤1mL</w:t>
            </w:r>
          </w:p>
        </w:tc>
        <w:tc>
          <w:tcPr>
            <w:tcW w:w="170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164B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48mm² · 3mL+</w:t>
            </w:r>
          </w:p>
        </w:tc>
        <w:tc>
          <w:tcPr>
            <w:tcW w:w="198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2D21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면적 2.8배 · 용량 3배+</w:t>
            </w:r>
          </w:p>
        </w:tc>
        <w:tc>
          <w:tcPr>
            <w:tcW w:w="2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2D35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한 번 실험으로 반복 분석·장기 테스트 가능</w:t>
            </w:r>
          </w:p>
        </w:tc>
      </w:tr>
      <w:tr w:rsidR="00DF4202" w:rsidRPr="00AB5563" w14:paraId="140BDEEB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1CAC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2. 유체 안정성 (Physiological Stability)</w:t>
            </w:r>
          </w:p>
        </w:tc>
        <w:tc>
          <w:tcPr>
            <w:tcW w:w="147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D09E0" w14:textId="77777777" w:rsidR="005D5864" w:rsidRDefault="00000000">
            <w:pPr>
              <w:spacing w:line="280" w:lineRule="auto"/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공기압 </w:t>
            </w:r>
          </w:p>
          <w:p w14:paraId="0DCD49EE" w14:textId="39425253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단방향</w:t>
            </w:r>
          </w:p>
        </w:tc>
        <w:tc>
          <w:tcPr>
            <w:tcW w:w="170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51641" w14:textId="77777777" w:rsidR="005D5864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연동펌프</w:t>
            </w:r>
            <w:r w:rsidR="00D47540">
              <w:rPr>
                <w:rFonts w:asciiTheme="minorHAnsi" w:eastAsiaTheme="minorHAnsi" w:hAnsiTheme="minorHAnsi" w:hint="eastAsia"/>
                <w:b/>
                <w:bCs/>
                <w:color w:val="E22718"/>
                <w:sz w:val="20"/>
                <w:szCs w:val="20"/>
              </w:rPr>
              <w:t xml:space="preserve"> </w:t>
            </w:r>
          </w:p>
          <w:p w14:paraId="1799D8D3" w14:textId="18BEE71E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순환식</w:t>
            </w:r>
            <w:proofErr w:type="spellEnd"/>
          </w:p>
        </w:tc>
        <w:tc>
          <w:tcPr>
            <w:tcW w:w="198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FD45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혈류 유사도 ↑ · 약물 농도 변동 ↓</w:t>
            </w:r>
          </w:p>
        </w:tc>
        <w:tc>
          <w:tcPr>
            <w:tcW w:w="2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1141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장기 노출(Repeat-dose) 데이터의 신뢰도 결정적 향상</w:t>
            </w:r>
          </w:p>
        </w:tc>
      </w:tr>
      <w:tr w:rsidR="00DF4202" w:rsidRPr="00AB5563" w14:paraId="0E67CFB0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391D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3.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다장기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확장성 (Multi-Organ Scalability)</w:t>
            </w:r>
          </w:p>
        </w:tc>
        <w:tc>
          <w:tcPr>
            <w:tcW w:w="1473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E04D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Liver · Lung 등 단일장기 중심</w:t>
            </w:r>
          </w:p>
        </w:tc>
        <w:tc>
          <w:tcPr>
            <w:tcW w:w="170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AEBC8" w14:textId="77777777" w:rsidR="00D47540" w:rsidRDefault="00000000">
            <w:pPr>
              <w:spacing w:line="280" w:lineRule="auto"/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장-간-신장-뇌 Multi-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 xml:space="preserve"> </w:t>
            </w:r>
          </w:p>
          <w:p w14:paraId="40FBDCD5" w14:textId="28B68E39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네이티브 설계</w:t>
            </w:r>
          </w:p>
        </w:tc>
        <w:tc>
          <w:tcPr>
            <w:tcW w:w="198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3AA7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ADME 전 경로 모사 가능</w:t>
            </w:r>
          </w:p>
        </w:tc>
        <w:tc>
          <w:tcPr>
            <w:tcW w:w="241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FCEA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임상 실패율 93%의 핵심 변수 — 장기 간 상호작용 직접 측정</w:t>
            </w:r>
          </w:p>
        </w:tc>
      </w:tr>
    </w:tbl>
    <w:p w14:paraId="3F973F72" w14:textId="77777777" w:rsidR="00DF4202" w:rsidRPr="00AB5563" w:rsidRDefault="00000000">
      <w:pPr>
        <w:pStyle w:val="3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t>실증 데이터 — 무엇이 검증되었는가</w:t>
      </w:r>
    </w:p>
    <w:p w14:paraId="2869CE35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b/>
          <w:bCs/>
          <w:color w:val="0F2244"/>
        </w:rPr>
        <w:t>간독성</w:t>
      </w:r>
      <w:proofErr w:type="spellEnd"/>
      <w:r w:rsidRPr="00AB5563">
        <w:rPr>
          <w:rFonts w:asciiTheme="minorHAnsi" w:eastAsiaTheme="minorHAnsi" w:hAnsiTheme="minorHAnsi"/>
          <w:b/>
          <w:bCs/>
          <w:color w:val="0F2244"/>
        </w:rPr>
        <w:t xml:space="preserve"> (DILI) 예측: </w:t>
      </w:r>
      <w:r w:rsidRPr="00AB5563">
        <w:rPr>
          <w:rFonts w:asciiTheme="minorHAnsi" w:eastAsiaTheme="minorHAnsi" w:hAnsiTheme="minorHAnsi"/>
          <w:color w:val="1C2330"/>
        </w:rPr>
        <w:t xml:space="preserve">동물모델 0% →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Liver-Chip 87% (Emulate 자체 검증치와 동급) — 약물 후보의 가장 큰 임상 실패 원인을 직접 잡는다.</w:t>
      </w:r>
    </w:p>
    <w:p w14:paraId="7E18A044" w14:textId="6671C1AD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Kidney-on-Chip: </w:t>
      </w:r>
      <w:r w:rsidRPr="00AB5563">
        <w:rPr>
          <w:rFonts w:asciiTheme="minorHAnsi" w:eastAsiaTheme="minorHAnsi" w:hAnsiTheme="minorHAnsi"/>
          <w:color w:val="1C2330"/>
        </w:rPr>
        <w:t>CHLA(LA Children's Hospital)와 공동연구 — 신장독성 모델, 미국 학술 레퍼런스 확보 단계</w:t>
      </w:r>
    </w:p>
    <w:p w14:paraId="71FB33FE" w14:textId="3AE7EA50" w:rsidR="00DF4202" w:rsidRPr="005D5864" w:rsidRDefault="00000000" w:rsidP="005D5864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 w:hint="eastAsia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장-간 연계: </w:t>
      </w:r>
      <w:r w:rsidRPr="00AB5563">
        <w:rPr>
          <w:rFonts w:asciiTheme="minorHAnsi" w:eastAsiaTheme="minorHAnsi" w:hAnsiTheme="minorHAnsi"/>
          <w:color w:val="1C2330"/>
        </w:rPr>
        <w:t>Multi-</w:t>
      </w: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첫 PoC — 경구 약물의 장 흡수 → 간 대사 통합 시뮬레이션, 글로벌에서 매우 적은 사례 중 하나.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4202" w:rsidRPr="00AB5563" w14:paraId="0F9DA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D068EB5" w14:textId="3B988D4E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</w:rPr>
              <w:t xml:space="preserve">"Emulate보다 좋다"는 메시지는 통하지 않는다. "Emulate로는 풀 수 없는 문제 — </w:t>
            </w:r>
            <w:r w:rsidRPr="005D5864">
              <w:rPr>
                <w:rFonts w:asciiTheme="minorHAnsi" w:eastAsiaTheme="minorHAnsi" w:hAnsiTheme="minorHAnsi"/>
                <w:b/>
                <w:bCs/>
                <w:color w:val="1C2330"/>
              </w:rPr>
              <w:t>장기 노출·</w:t>
            </w:r>
            <w:proofErr w:type="spellStart"/>
            <w:r w:rsidRPr="005D5864">
              <w:rPr>
                <w:rFonts w:asciiTheme="minorHAnsi" w:eastAsiaTheme="minorHAnsi" w:hAnsiTheme="minorHAnsi"/>
                <w:b/>
                <w:bCs/>
                <w:color w:val="1C2330"/>
              </w:rPr>
              <w:t>다장기</w:t>
            </w:r>
            <w:proofErr w:type="spellEnd"/>
            <w:r w:rsidRPr="005D5864">
              <w:rPr>
                <w:rFonts w:asciiTheme="minorHAnsi" w:eastAsiaTheme="minorHAnsi" w:hAnsiTheme="minorHAnsi"/>
                <w:b/>
                <w:bCs/>
                <w:color w:val="1C2330"/>
              </w:rPr>
              <w:t xml:space="preserve"> ADME·대량 샘플 분석 — </w:t>
            </w:r>
            <w:proofErr w:type="spellStart"/>
            <w:r w:rsidRPr="005D5864">
              <w:rPr>
                <w:rFonts w:asciiTheme="minorHAnsi" w:eastAsiaTheme="minorHAnsi" w:hAnsiTheme="minorHAnsi"/>
                <w:b/>
                <w:bCs/>
                <w:color w:val="1C2330"/>
              </w:rPr>
              <w:t>를</w:t>
            </w:r>
            <w:proofErr w:type="spellEnd"/>
            <w:r w:rsidRPr="005D5864">
              <w:rPr>
                <w:rFonts w:asciiTheme="minorHAnsi" w:eastAsiaTheme="minorHAnsi" w:hAnsiTheme="minorHAnsi"/>
                <w:b/>
                <w:bCs/>
                <w:color w:val="1C2330"/>
              </w:rPr>
              <w:t xml:space="preserve"> </w:t>
            </w:r>
            <w:proofErr w:type="spellStart"/>
            <w:r w:rsidRPr="005D5864">
              <w:rPr>
                <w:rFonts w:asciiTheme="minorHAnsi" w:eastAsiaTheme="minorHAnsi" w:hAnsiTheme="minorHAnsi"/>
                <w:b/>
                <w:bCs/>
                <w:color w:val="1C2330"/>
              </w:rPr>
              <w:t>BioSpero</w:t>
            </w:r>
            <w:proofErr w:type="spellEnd"/>
            <w:r w:rsidRPr="005D5864">
              <w:rPr>
                <w:rFonts w:asciiTheme="minorHAnsi" w:eastAsiaTheme="minorHAnsi" w:hAnsiTheme="minorHAnsi"/>
                <w:b/>
                <w:bCs/>
                <w:color w:val="1C2330"/>
              </w:rPr>
              <w:t>만이 푼다"</w:t>
            </w:r>
            <w:r w:rsidRPr="00AB5563">
              <w:rPr>
                <w:rFonts w:asciiTheme="minorHAnsi" w:eastAsiaTheme="minorHAnsi" w:hAnsiTheme="minorHAnsi"/>
                <w:color w:val="1C2330"/>
              </w:rPr>
              <w:t xml:space="preserve">는 가격 경쟁이 아니라 "포트폴리오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보완재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>" 영업 모델이다.</w:t>
            </w:r>
          </w:p>
        </w:tc>
      </w:tr>
    </w:tbl>
    <w:p w14:paraId="2DAE2875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4" w:name="_Toc229316869"/>
      <w:r w:rsidRPr="00AB5563">
        <w:rPr>
          <w:rFonts w:asciiTheme="minorHAnsi" w:eastAsiaTheme="minorHAnsi" w:hAnsiTheme="minorHAnsi"/>
        </w:rPr>
        <w:lastRenderedPageBreak/>
        <w:t xml:space="preserve">8-6. </w:t>
      </w:r>
      <w:proofErr w:type="spellStart"/>
      <w:r w:rsidRPr="00AB5563">
        <w:rPr>
          <w:rFonts w:asciiTheme="minorHAnsi" w:eastAsiaTheme="minorHAnsi" w:hAnsiTheme="minorHAnsi"/>
        </w:rPr>
        <w:t>시장별</w:t>
      </w:r>
      <w:proofErr w:type="spellEnd"/>
      <w:r w:rsidRPr="00AB5563">
        <w:rPr>
          <w:rFonts w:asciiTheme="minorHAnsi" w:eastAsiaTheme="minorHAnsi" w:hAnsiTheme="minorHAnsi"/>
        </w:rPr>
        <w:t xml:space="preserve"> 진입 시나리오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1411"/>
        <w:gridCol w:w="3269"/>
      </w:tblGrid>
      <w:tr w:rsidR="00DF4202" w:rsidRPr="00AB5563" w14:paraId="2D0F3869" w14:textId="77777777" w:rsidTr="005D58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2D94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시장</w:t>
            </w:r>
          </w:p>
        </w:tc>
        <w:tc>
          <w:tcPr>
            <w:tcW w:w="312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5A12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전략</w:t>
            </w:r>
          </w:p>
        </w:tc>
        <w:tc>
          <w:tcPr>
            <w:tcW w:w="1411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334E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시점</w:t>
            </w:r>
          </w:p>
        </w:tc>
        <w:tc>
          <w:tcPr>
            <w:tcW w:w="3269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1211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근거</w:t>
            </w:r>
          </w:p>
        </w:tc>
      </w:tr>
      <w:tr w:rsidR="00DF4202" w:rsidRPr="00AB5563" w14:paraId="66C4E553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3F1C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일본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047A0" w14:textId="34DCD960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장비+소모품 (프린터-토너)</w:t>
            </w:r>
          </w:p>
        </w:tc>
        <w:tc>
          <w:tcPr>
            <w:tcW w:w="14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88C2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즉시</w:t>
            </w:r>
          </w:p>
        </w:tc>
        <w:tc>
          <w:tcPr>
            <w:tcW w:w="32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5BBD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SPI 독점 계약 · 제약사 Pre-Marketing 검증</w:t>
            </w:r>
          </w:p>
        </w:tc>
      </w:tr>
      <w:tr w:rsidR="00DF4202" w:rsidRPr="00AB5563" w14:paraId="098B27E1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E8B6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한국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6B7A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CRO 서비스(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BiolabXpert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) + 표준 설계</w:t>
            </w:r>
          </w:p>
        </w:tc>
        <w:tc>
          <w:tcPr>
            <w:tcW w:w="14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F3A5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즉시 단기</w:t>
            </w:r>
          </w:p>
        </w:tc>
        <w:tc>
          <w:tcPr>
            <w:tcW w:w="32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EAEF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장비 수요 미성숙 → 서비스로 데이터 축적</w:t>
            </w:r>
          </w:p>
        </w:tc>
      </w:tr>
      <w:tr w:rsidR="00DF4202" w:rsidRPr="00AB5563" w14:paraId="58F91ED0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596A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미국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1CCE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연구기관 PoC → CRO 파트너십</w:t>
            </w:r>
          </w:p>
        </w:tc>
        <w:tc>
          <w:tcPr>
            <w:tcW w:w="14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D946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12~18개월</w:t>
            </w:r>
          </w:p>
        </w:tc>
        <w:tc>
          <w:tcPr>
            <w:tcW w:w="32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303E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 규제 전환 · Children's Hospital NDA</w:t>
            </w:r>
          </w:p>
        </w:tc>
      </w:tr>
      <w:tr w:rsidR="00DF4202" w:rsidRPr="00AB5563" w14:paraId="464D2062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FFB5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유럽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AE48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파트너십 기반 간접 진출</w:t>
            </w:r>
          </w:p>
        </w:tc>
        <w:tc>
          <w:tcPr>
            <w:tcW w:w="14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E867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18~24개월</w:t>
            </w:r>
          </w:p>
        </w:tc>
        <w:tc>
          <w:tcPr>
            <w:tcW w:w="32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907C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Pasteur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Novalix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BRUKER</w:t>
            </w:r>
          </w:p>
        </w:tc>
      </w:tr>
      <w:tr w:rsidR="00DF4202" w:rsidRPr="00AB5563" w14:paraId="69078F3B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0326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싱가포르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B963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아시아 규제 허브 교두보</w:t>
            </w:r>
          </w:p>
        </w:tc>
        <w:tc>
          <w:tcPr>
            <w:tcW w:w="14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E267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2~3년 후</w:t>
            </w:r>
          </w:p>
        </w:tc>
        <w:tc>
          <w:tcPr>
            <w:tcW w:w="32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6EB2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A*STAR · FDA-SG 상호인정 추진</w:t>
            </w:r>
          </w:p>
        </w:tc>
      </w:tr>
      <w:tr w:rsidR="00DF4202" w:rsidRPr="00AB5563" w14:paraId="4A715945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EAB7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동남아 전반</w:t>
            </w:r>
          </w:p>
        </w:tc>
        <w:tc>
          <w:tcPr>
            <w:tcW w:w="312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4D6A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스킵</w:t>
            </w:r>
            <w:proofErr w:type="spellEnd"/>
          </w:p>
        </w:tc>
        <w:tc>
          <w:tcPr>
            <w:tcW w:w="141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CEB5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5년 후</w:t>
            </w:r>
          </w:p>
        </w:tc>
        <w:tc>
          <w:tcPr>
            <w:tcW w:w="326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D346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규제 인프라 · R&amp;D 예산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미충족</w:t>
            </w:r>
            <w:proofErr w:type="spellEnd"/>
          </w:p>
        </w:tc>
      </w:tr>
    </w:tbl>
    <w:p w14:paraId="797A88D3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5" w:name="_Toc229316870"/>
      <w:r w:rsidRPr="00AB5563">
        <w:rPr>
          <w:rFonts w:asciiTheme="minorHAnsi" w:eastAsiaTheme="minorHAnsi" w:hAnsiTheme="minorHAnsi"/>
        </w:rPr>
        <w:t>8-7. 일본 시장 — 가장 구체적인 시나리오</w:t>
      </w:r>
      <w:bookmarkEnd w:id="35"/>
    </w:p>
    <w:p w14:paraId="6CE001E8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일본은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의 글로벌 진출 본게임이다. 전략의 견고성과 채널의 상태가 가장 명확하다.</w:t>
      </w:r>
    </w:p>
    <w:p w14:paraId="68B619D7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SPI 독점 계약 최종 조율 — 2026.01 MPS 컨퍼런스 부스 참석 완료</w:t>
      </w:r>
    </w:p>
    <w:p w14:paraId="2D0A30FD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Daiichi-Sankyo · Eisai · Astellas Pre-Marketing 공동조사 완료</w:t>
      </w:r>
    </w:p>
    <w:p w14:paraId="7B061241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SPI 커버리지: Top 10 제약사 100%, 학술 89%</w:t>
      </w:r>
    </w:p>
    <w:p w14:paraId="32F7383B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Japan MPS Initiative 3rd Forum 개최 — 업계 수요 검증</w:t>
      </w:r>
    </w:p>
    <w:p w14:paraId="51350992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6" w:name="_Toc229316871"/>
      <w:r w:rsidRPr="00AB5563">
        <w:rPr>
          <w:rFonts w:asciiTheme="minorHAnsi" w:eastAsiaTheme="minorHAnsi" w:hAnsiTheme="minorHAnsi"/>
        </w:rPr>
        <w:t>8-8. 미국 전략 — 현지 거점과 파트너십</w:t>
      </w:r>
      <w:bookmarkEnd w:id="36"/>
    </w:p>
    <w:p w14:paraId="7ABD1395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Children's Hospital LA: Kidney-on-Chip 공동연구, NDA 체결</w:t>
      </w:r>
    </w:p>
    <w:p w14:paraId="42A52A66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Raritan Valley Community College: 교육 프로그램 제안서 제출</w:t>
      </w:r>
    </w:p>
    <w:p w14:paraId="55585ADA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Linearis(캐나다): 유통 합의, NDA 체결</w:t>
      </w:r>
    </w:p>
    <w:p w14:paraId="39A24832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Morphocell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(캐나다): 간 모델 공동연구,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OrganXpert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>-T 판매</w:t>
      </w:r>
    </w:p>
    <w:p w14:paraId="21B86854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7" w:name="_Toc229316872"/>
      <w:r w:rsidRPr="00AB5563">
        <w:rPr>
          <w:rFonts w:asciiTheme="minorHAnsi" w:eastAsiaTheme="minorHAnsi" w:hAnsiTheme="minorHAnsi"/>
        </w:rPr>
        <w:lastRenderedPageBreak/>
        <w:t>8-9. 유럽 전략 — 파트너십 기반 간접 진출</w:t>
      </w:r>
      <w:bookmarkEnd w:id="37"/>
    </w:p>
    <w:p w14:paraId="3A8720E7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Novalix</w:t>
      </w:r>
      <w:proofErr w:type="spellEnd"/>
      <w:r w:rsidRPr="00AB5563">
        <w:rPr>
          <w:rFonts w:asciiTheme="minorHAnsi" w:eastAsiaTheme="minorHAnsi" w:hAnsiTheme="minorHAnsi"/>
          <w:color w:val="1C2330"/>
        </w:rPr>
        <w:t>(프랑스): 전임상 검증 분야 협력, 유럽 제약사 솔루션 제공</w:t>
      </w:r>
    </w:p>
    <w:p w14:paraId="6D061535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b/>
          <w:bCs/>
          <w:color w:val="0F2244"/>
        </w:rPr>
        <w:t>Institut</w:t>
      </w:r>
      <w:proofErr w:type="spellEnd"/>
      <w:r w:rsidRPr="00AB5563">
        <w:rPr>
          <w:rFonts w:asciiTheme="minorHAnsi" w:eastAsiaTheme="minorHAnsi" w:hAnsiTheme="minorHAnsi"/>
          <w:b/>
          <w:bCs/>
          <w:color w:val="0F2244"/>
        </w:rPr>
        <w:t xml:space="preserve"> Pasteur(프랑스): </w:t>
      </w:r>
      <w:r w:rsidRPr="00AB5563">
        <w:rPr>
          <w:rFonts w:asciiTheme="minorHAnsi" w:eastAsiaTheme="minorHAnsi" w:hAnsiTheme="minorHAnsi"/>
          <w:color w:val="1C2330"/>
        </w:rPr>
        <w:t>15개 연구팀 질환모델·</w:t>
      </w:r>
      <w:proofErr w:type="spellStart"/>
      <w:r w:rsidRPr="00AB5563">
        <w:rPr>
          <w:rFonts w:asciiTheme="minorHAnsi" w:eastAsiaTheme="minorHAnsi" w:hAnsiTheme="minorHAnsi"/>
          <w:color w:val="1C2330"/>
        </w:rPr>
        <w:t>약물효능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평가 공동연구 추진</w:t>
      </w:r>
    </w:p>
    <w:p w14:paraId="1D68838C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b/>
          <w:bCs/>
          <w:color w:val="0F2244"/>
        </w:rPr>
        <w:t xml:space="preserve">BRUKER(독일): </w:t>
      </w:r>
      <w:r w:rsidRPr="00AB5563">
        <w:rPr>
          <w:rFonts w:asciiTheme="minorHAnsi" w:eastAsiaTheme="minorHAnsi" w:hAnsiTheme="minorHAnsi"/>
          <w:color w:val="1C2330"/>
        </w:rPr>
        <w:t>분석장비 연동 통합 솔루션 — 유럽 시장 시너지</w:t>
      </w:r>
    </w:p>
    <w:p w14:paraId="4D8B5DE9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38" w:name="_Toc229316873"/>
      <w:r w:rsidRPr="00AB5563">
        <w:rPr>
          <w:rFonts w:asciiTheme="minorHAnsi" w:eastAsiaTheme="minorHAnsi" w:hAnsiTheme="minorHAnsi"/>
        </w:rPr>
        <w:t>8-10. 시장 규모 (TAM·SAM·SOM)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2674"/>
        <w:gridCol w:w="1337"/>
        <w:gridCol w:w="2675"/>
      </w:tblGrid>
      <w:tr w:rsidR="00DF4202" w:rsidRPr="00AB5563" w14:paraId="15F67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E9B7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세부 시장</w:t>
            </w:r>
          </w:p>
        </w:tc>
        <w:tc>
          <w:tcPr>
            <w:tcW w:w="267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0278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규모 (2028)</w:t>
            </w:r>
          </w:p>
        </w:tc>
        <w:tc>
          <w:tcPr>
            <w:tcW w:w="133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988D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CAGR</w:t>
            </w:r>
          </w:p>
        </w:tc>
        <w:tc>
          <w:tcPr>
            <w:tcW w:w="267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454C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출처</w:t>
            </w:r>
          </w:p>
        </w:tc>
      </w:tr>
      <w:tr w:rsidR="00DF4202" w:rsidRPr="00AB5563" w14:paraId="077D140D" w14:textId="77777777" w:rsidTr="005D5864">
        <w:tblPrEx>
          <w:tblCellMar>
            <w:top w:w="0" w:type="dxa"/>
            <w:bottom w:w="0" w:type="dxa"/>
          </w:tblCellMar>
        </w:tblPrEx>
        <w:trPr>
          <w:trHeight w:val="807"/>
        </w:trPr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3308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체외 독성 (In-vitro Toxicology)</w:t>
            </w:r>
          </w:p>
        </w:tc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8CD9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약 23.1조원 ($17.1B)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4A01B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9.5%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EFBC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MarketsandMarkets</w:t>
            </w:r>
            <w:proofErr w:type="spellEnd"/>
          </w:p>
        </w:tc>
      </w:tr>
      <w:tr w:rsidR="00DF4202" w:rsidRPr="00AB5563" w14:paraId="5F8C6111" w14:textId="77777777" w:rsidTr="005D5864">
        <w:tblPrEx>
          <w:tblCellMar>
            <w:top w:w="0" w:type="dxa"/>
            <w:bottom w:w="0" w:type="dxa"/>
          </w:tblCellMar>
        </w:tblPrEx>
        <w:trPr>
          <w:trHeight w:val="807"/>
        </w:trPr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6F0A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전임상 CRO</w:t>
            </w:r>
          </w:p>
        </w:tc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AAD1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약 11.4조원 ($8.3~8.4B)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EA883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9%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3980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Grand View Research</w:t>
            </w:r>
          </w:p>
        </w:tc>
      </w:tr>
      <w:tr w:rsidR="00DF4202" w:rsidRPr="00AB5563" w14:paraId="7484A876" w14:textId="77777777" w:rsidTr="005D5864">
        <w:tblPrEx>
          <w:tblCellMar>
            <w:top w:w="0" w:type="dxa"/>
            <w:bottom w:w="0" w:type="dxa"/>
          </w:tblCellMar>
        </w:tblPrEx>
        <w:trPr>
          <w:trHeight w:val="807"/>
        </w:trPr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4B42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MPS / Organ-on-Chip</w:t>
            </w:r>
          </w:p>
        </w:tc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0E48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약 9천억원 ($650~700M)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B37FA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28~30%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F491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Stratview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KBV · Research Dive</w:t>
            </w:r>
          </w:p>
        </w:tc>
      </w:tr>
      <w:tr w:rsidR="00DF4202" w:rsidRPr="00AB5563" w14:paraId="71F286B3" w14:textId="77777777" w:rsidTr="005D5864">
        <w:tblPrEx>
          <w:tblCellMar>
            <w:top w:w="0" w:type="dxa"/>
            <w:bottom w:w="0" w:type="dxa"/>
          </w:tblCellMar>
        </w:tblPrEx>
        <w:trPr>
          <w:trHeight w:val="807"/>
        </w:trPr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FA94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비동물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대체시험 전체 (2030)</w:t>
            </w:r>
          </w:p>
        </w:tc>
        <w:tc>
          <w:tcPr>
            <w:tcW w:w="267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E171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약 293억 달러</w:t>
            </w:r>
          </w:p>
        </w:tc>
        <w:tc>
          <w:tcPr>
            <w:tcW w:w="13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857FE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13.48%</w:t>
            </w:r>
          </w:p>
        </w:tc>
        <w:tc>
          <w:tcPr>
            <w:tcW w:w="26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4A38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복수 종합</w:t>
            </w:r>
          </w:p>
        </w:tc>
      </w:tr>
    </w:tbl>
    <w:p w14:paraId="00266942" w14:textId="77777777" w:rsidR="00DF4202" w:rsidRPr="00AB5563" w:rsidRDefault="00000000">
      <w:pPr>
        <w:spacing w:before="100" w:after="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관련 전체 시장(TAM)은 35.4조원, 유효시장(SAM)은 7.4조원, 수익시장(SOM, 2028)은 6천억원이다.</w:t>
      </w:r>
    </w:p>
    <w:p w14:paraId="5CA0AF90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1B7C160F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39" w:name="_Toc229316874"/>
      <w:r w:rsidRPr="00AB5563">
        <w:rPr>
          <w:rFonts w:asciiTheme="minorHAnsi" w:eastAsiaTheme="minorHAnsi" w:hAnsiTheme="minorHAnsi"/>
        </w:rPr>
        <w:t>10. SPI·IND 데이터 패키지 중심 5단계 진입 로드맵</w:t>
      </w:r>
      <w:bookmarkEnd w:id="39"/>
    </w:p>
    <w:p w14:paraId="02671126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OoC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비즈니스의 본질은 "기술을 만든 뒤 데이터를 축적하고, 데이터로 규제를 통과시켜 시장을 연다"이다.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의 핵심 과제는 기술개발이 아닌 Validation Data 축적이다.</w:t>
      </w:r>
    </w:p>
    <w:p w14:paraId="47098E29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40" w:name="_Toc229316875"/>
      <w:r w:rsidRPr="00AB5563">
        <w:rPr>
          <w:rFonts w:asciiTheme="minorHAnsi" w:eastAsiaTheme="minorHAnsi" w:hAnsiTheme="minorHAnsi"/>
        </w:rPr>
        <w:t>9-1. 5단계 진입 모델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7956"/>
      </w:tblGrid>
      <w:tr w:rsidR="00DF4202" w:rsidRPr="00AB5563" w14:paraId="730A9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F8CF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795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EE66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DF4202" w:rsidRPr="00AB5563" w14:paraId="4374AF0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26A9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1단계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1102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현지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유통사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/장비 파트너 확보 — 일본 SPI · 캐나다 Linearis</w:t>
            </w:r>
          </w:p>
        </w:tc>
      </w:tr>
      <w:tr w:rsidR="00DF4202" w:rsidRPr="00AB5563" w14:paraId="6D3E1AB9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AC49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2단계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44E5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KOL 연구기관 PoC —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Institut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Pasteur · Children's Hospital LA</w:t>
            </w:r>
          </w:p>
        </w:tc>
      </w:tr>
      <w:tr w:rsidR="00DF4202" w:rsidRPr="00AB5563" w14:paraId="7E02F7B1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4111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3단계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13A3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제약사 공동검증 프로젝트 — Daiichi-Sankyo · Eisai · Astellas · Sanofi</w:t>
            </w:r>
          </w:p>
        </w:tc>
      </w:tr>
      <w:tr w:rsidR="00DF4202" w:rsidRPr="00AB5563" w14:paraId="2E1D90E4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53C7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4단계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DFE3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CRO/제약사 반복 매출화 — 소모품·서비스 매출 안정화</w:t>
            </w:r>
          </w:p>
        </w:tc>
      </w:tr>
      <w:tr w:rsidR="00DF4202" w:rsidRPr="00AB5563" w14:paraId="65DA462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C54A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5단계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8F5C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현지 인증·표준 프로토콜 확보 — FDA ISTAND · MFDS K-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오가노이드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컨소시엄</w:t>
            </w:r>
          </w:p>
        </w:tc>
      </w:tr>
    </w:tbl>
    <w:p w14:paraId="01C17B05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41" w:name="_Toc229316876"/>
      <w:r w:rsidRPr="00AB5563">
        <w:rPr>
          <w:rFonts w:asciiTheme="minorHAnsi" w:eastAsiaTheme="minorHAnsi" w:hAnsiTheme="minorHAnsi"/>
        </w:rPr>
        <w:t>9-2. 시기별 핵심 마일스톤 (2026~2029)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7956"/>
      </w:tblGrid>
      <w:tr w:rsidR="00DF4202" w:rsidRPr="00AB5563" w14:paraId="2335A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91B2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연도</w:t>
            </w:r>
          </w:p>
        </w:tc>
        <w:tc>
          <w:tcPr>
            <w:tcW w:w="795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4553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핵심 마일스톤</w:t>
            </w:r>
          </w:p>
        </w:tc>
      </w:tr>
      <w:tr w:rsidR="00DF4202" w:rsidRPr="00AB5563" w14:paraId="0EDB2294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7341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2026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68B4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일본 SPI 독점 계약 서명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Pro(n=12) 출시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BiolabXpert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한국 PoC 5건</w:t>
            </w:r>
          </w:p>
        </w:tc>
      </w:tr>
      <w:tr w:rsidR="00DF4202" w:rsidRPr="00AB5563" w14:paraId="49C4C637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A492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2027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6332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Kidney·Liver·Intestine·Brain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임상예측 서비스 개시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OrganXpert-BBB·Liver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출시 · FDA ISTAND 사전 미팅</w:t>
            </w:r>
          </w:p>
        </w:tc>
      </w:tr>
      <w:tr w:rsidR="00DF4202" w:rsidRPr="00AB5563" w14:paraId="21CD5BE5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5199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2028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3F8D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Heart·Skin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서비스 · Embodied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(100개+) 출시 · 첫 IND 데이터 패키지 납품 사례</w:t>
            </w:r>
          </w:p>
        </w:tc>
      </w:tr>
      <w:tr w:rsidR="00DF4202" w:rsidRPr="00AB5563" w14:paraId="101C0805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B1E3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2029</w:t>
            </w:r>
          </w:p>
        </w:tc>
        <w:tc>
          <w:tcPr>
            <w:tcW w:w="79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3BD9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자동 조직 배양·분석 시스템 · AI/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멀티오믹스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통합 · 임직원 50명 이상 확충</w:t>
            </w:r>
          </w:p>
        </w:tc>
      </w:tr>
    </w:tbl>
    <w:p w14:paraId="6F96D8EE" w14:textId="77777777" w:rsidR="005D5864" w:rsidRDefault="005D5864">
      <w:pPr>
        <w:pStyle w:val="2"/>
        <w:rPr>
          <w:rFonts w:asciiTheme="minorHAnsi" w:eastAsiaTheme="minorHAnsi" w:hAnsiTheme="minorHAnsi"/>
        </w:rPr>
      </w:pPr>
      <w:bookmarkStart w:id="42" w:name="_Toc229316877"/>
    </w:p>
    <w:p w14:paraId="1E6C5EF8" w14:textId="178BF731" w:rsidR="00DF4202" w:rsidRPr="00AB5563" w:rsidRDefault="00000000">
      <w:pPr>
        <w:pStyle w:val="2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lastRenderedPageBreak/>
        <w:t>9-3. 핵심 KPI</w:t>
      </w:r>
      <w:bookmarkEnd w:id="42"/>
    </w:p>
    <w:p w14:paraId="3E840E96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일본 SPI 독점 계약 서명 완료 (2026 상반기)</w:t>
      </w:r>
    </w:p>
    <w:p w14:paraId="6B3056B3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일본 제약사 1개사 이상 유료 계약 전환 (2026 하반기)</w:t>
      </w:r>
    </w:p>
    <w:p w14:paraId="387AF26F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첫 IND 데이터 패키지 납품 사례 —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BiolabXpert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(2027)</w:t>
      </w:r>
    </w:p>
    <w:p w14:paraId="5FB36B42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FDA ISTAND 사전 미팅 일정 수립 (2027)</w:t>
      </w:r>
    </w:p>
    <w:p w14:paraId="0126A224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proofErr w:type="spellStart"/>
      <w:r w:rsidRPr="00AB5563">
        <w:rPr>
          <w:rFonts w:asciiTheme="minorHAnsi" w:eastAsiaTheme="minorHAnsi" w:hAnsiTheme="minorHAnsi"/>
          <w:color w:val="1C2330"/>
        </w:rPr>
        <w:t>OrganXpert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Pro(n=12) 정식 출시 (2026 Q3)</w:t>
      </w:r>
    </w:p>
    <w:p w14:paraId="4226E66A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임직원 20명 이상 확충 (2027 상반기)</w:t>
      </w:r>
    </w:p>
    <w:p w14:paraId="69625835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7CDEDD8A" w14:textId="77777777" w:rsidR="00DF4202" w:rsidRPr="00AB5563" w:rsidRDefault="00000000">
      <w:pPr>
        <w:pStyle w:val="1"/>
        <w:pBdr>
          <w:bottom w:val="single" w:sz="18" w:space="4" w:color="1C69D4"/>
        </w:pBdr>
        <w:rPr>
          <w:rFonts w:asciiTheme="minorHAnsi" w:eastAsiaTheme="minorHAnsi" w:hAnsiTheme="minorHAnsi"/>
        </w:rPr>
      </w:pPr>
      <w:bookmarkStart w:id="43" w:name="_Toc229316878"/>
      <w:r w:rsidRPr="00AB5563">
        <w:rPr>
          <w:rFonts w:asciiTheme="minorHAnsi" w:eastAsiaTheme="minorHAnsi" w:hAnsiTheme="minorHAnsi"/>
        </w:rPr>
        <w:t>11. Risk Matrix &amp; 투자 평가</w:t>
      </w:r>
      <w:bookmarkEnd w:id="43"/>
    </w:p>
    <w:p w14:paraId="0CE5F3BE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44" w:name="_Toc229316879"/>
      <w:r w:rsidRPr="00AB5563">
        <w:rPr>
          <w:rFonts w:asciiTheme="minorHAnsi" w:eastAsiaTheme="minorHAnsi" w:hAnsiTheme="minorHAnsi"/>
        </w:rPr>
        <w:t>10-1. 리스크 매트릭스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1275"/>
        <w:gridCol w:w="1560"/>
        <w:gridCol w:w="3836"/>
      </w:tblGrid>
      <w:tr w:rsidR="00DF4202" w:rsidRPr="00AB5563" w14:paraId="15CD637C" w14:textId="77777777" w:rsidTr="005D58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9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4763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리스크</w:t>
            </w:r>
          </w:p>
        </w:tc>
        <w:tc>
          <w:tcPr>
            <w:tcW w:w="127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7428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가능성</w:t>
            </w:r>
          </w:p>
        </w:tc>
        <w:tc>
          <w:tcPr>
            <w:tcW w:w="156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FA06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영향도</w:t>
            </w:r>
          </w:p>
        </w:tc>
        <w:tc>
          <w:tcPr>
            <w:tcW w:w="383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AC46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핵심 대응</w:t>
            </w:r>
          </w:p>
        </w:tc>
      </w:tr>
      <w:tr w:rsidR="00DF4202" w:rsidRPr="00AB5563" w14:paraId="10077B4B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E4B2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일본 SPI 계약 지연/무산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5554F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낮음~중간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67823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매우 높음</w:t>
            </w:r>
          </w:p>
        </w:tc>
        <w:tc>
          <w:tcPr>
            <w:tcW w:w="383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BB8A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복수 유통 채널 병행 · 직접 영업 준비</w:t>
            </w:r>
          </w:p>
        </w:tc>
      </w:tr>
      <w:tr w:rsidR="00DF4202" w:rsidRPr="00AB5563" w14:paraId="3C01B6CB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1AE9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실행 역량 부족 (11명 팀)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27445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높음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3707A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높음</w:t>
            </w:r>
          </w:p>
        </w:tc>
        <w:tc>
          <w:tcPr>
            <w:tcW w:w="383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EA5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투자금 마케팅 항목 인력 우선 충원</w:t>
            </w:r>
          </w:p>
        </w:tc>
      </w:tr>
      <w:tr w:rsidR="00DF4202" w:rsidRPr="00AB5563" w14:paraId="24425024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E6EC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규제 인증 경로 공백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B8FE6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높음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C1D5C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높음</w:t>
            </w:r>
          </w:p>
        </w:tc>
        <w:tc>
          <w:tcPr>
            <w:tcW w:w="383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F0BB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 ISTAND 조기 참여 로드맵 수립</w:t>
            </w:r>
          </w:p>
        </w:tc>
      </w:tr>
      <w:tr w:rsidR="00DF4202" w:rsidRPr="00AB5563" w14:paraId="62E607C1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93FE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매출 추정 공격성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678E9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중간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94840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중간</w:t>
            </w:r>
          </w:p>
        </w:tc>
        <w:tc>
          <w:tcPr>
            <w:tcW w:w="383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5B5A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보수 시나리오 병행 준비</w:t>
            </w:r>
          </w:p>
        </w:tc>
      </w:tr>
      <w:tr w:rsidR="00DF4202" w:rsidRPr="00AB5563" w14:paraId="4026A657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4534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경쟁 심화 (Emulate 추격)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B8E4D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높음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F1310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중간</w:t>
            </w:r>
          </w:p>
        </w:tc>
        <w:tc>
          <w:tcPr>
            <w:tcW w:w="383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B26A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아시아 시장·Multi-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·특정 장기 집중</w:t>
            </w:r>
          </w:p>
        </w:tc>
      </w:tr>
      <w:tr w:rsidR="00DF4202" w:rsidRPr="00AB5563" w14:paraId="74247E8D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830FF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한국 장비 수요 공백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C74DE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높음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C0E09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낮음~중간</w:t>
            </w:r>
          </w:p>
        </w:tc>
        <w:tc>
          <w:tcPr>
            <w:tcW w:w="383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3619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장비보다 서비스(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BiolabXpert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) 우선</w:t>
            </w:r>
          </w:p>
        </w:tc>
      </w:tr>
      <w:tr w:rsidR="00DF4202" w:rsidRPr="00AB5563" w14:paraId="4866860F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7E22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MFDS 규제 지연</w:t>
            </w:r>
          </w:p>
        </w:tc>
        <w:tc>
          <w:tcPr>
            <w:tcW w:w="127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CDB66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높음</w:t>
            </w:r>
          </w:p>
        </w:tc>
        <w:tc>
          <w:tcPr>
            <w:tcW w:w="156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9A5FA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낮음~중간</w:t>
            </w:r>
          </w:p>
        </w:tc>
        <w:tc>
          <w:tcPr>
            <w:tcW w:w="383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1646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K-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오가노이드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컨소시엄 통해 가이드라인 설계 참여</w:t>
            </w:r>
          </w:p>
        </w:tc>
      </w:tr>
    </w:tbl>
    <w:p w14:paraId="2031CCD6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45" w:name="_Toc229316880"/>
      <w:r w:rsidRPr="00AB5563">
        <w:rPr>
          <w:rFonts w:asciiTheme="minorHAnsi" w:eastAsiaTheme="minorHAnsi" w:hAnsiTheme="minorHAnsi"/>
        </w:rPr>
        <w:t>10-2. 투자 종합 평가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537"/>
      </w:tblGrid>
      <w:tr w:rsidR="00DF4202" w:rsidRPr="00AB5563" w14:paraId="58E5096B" w14:textId="77777777" w:rsidTr="005D58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BE9F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1985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C43E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평가</w:t>
            </w:r>
          </w:p>
        </w:tc>
        <w:tc>
          <w:tcPr>
            <w:tcW w:w="5537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51F0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핵심 근거</w:t>
            </w:r>
          </w:p>
        </w:tc>
      </w:tr>
      <w:tr w:rsidR="00DF4202" w:rsidRPr="00AB5563" w14:paraId="7713F700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7239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기술 차별성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D29E7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</w:t>
            </w:r>
          </w:p>
        </w:tc>
        <w:tc>
          <w:tcPr>
            <w:tcW w:w="55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D58C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48mm² 배양 면적·연동 펌프 실질 우위</w:t>
            </w:r>
          </w:p>
        </w:tc>
      </w:tr>
      <w:tr w:rsidR="00DF4202" w:rsidRPr="00AB5563" w14:paraId="26897291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7AEF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시장 타이밍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100A4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★★★★★</w:t>
            </w:r>
          </w:p>
        </w:tc>
        <w:tc>
          <w:tcPr>
            <w:tcW w:w="55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2808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FDA·MFDS 규제 전환 최적 시점, 2026 NAMs 가이드라인</w:t>
            </w:r>
          </w:p>
        </w:tc>
      </w:tr>
      <w:tr w:rsidR="00DF4202" w:rsidRPr="00AB5563" w14:paraId="530C9135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CEF0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비즈니스 모델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9DA65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</w:t>
            </w:r>
          </w:p>
        </w:tc>
        <w:tc>
          <w:tcPr>
            <w:tcW w:w="55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C372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프린터-토너 구조 검증됨, 수치는 공격적</w:t>
            </w:r>
          </w:p>
        </w:tc>
      </w:tr>
      <w:tr w:rsidR="00DF4202" w:rsidRPr="00AB5563" w14:paraId="3D713D6F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B876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글로벌 전략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56802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★★★★</w:t>
            </w:r>
          </w:p>
        </w:tc>
        <w:tc>
          <w:tcPr>
            <w:tcW w:w="55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3F16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일본 전략 탄탄,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Institut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Pasteur 레퍼런스 인상적</w:t>
            </w:r>
          </w:p>
        </w:tc>
      </w:tr>
      <w:tr w:rsidR="00DF4202" w:rsidRPr="00AB5563" w14:paraId="700E3BAF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EA19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실행 역량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91423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</w:t>
            </w:r>
          </w:p>
        </w:tc>
        <w:tc>
          <w:tcPr>
            <w:tcW w:w="55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6621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11명으로 멀티트랙 병목 우려</w:t>
            </w:r>
          </w:p>
        </w:tc>
      </w:tr>
      <w:tr w:rsidR="00DF4202" w:rsidRPr="00AB5563" w14:paraId="3BB48D4E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4AA4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규제 대응</w:t>
            </w:r>
          </w:p>
        </w:tc>
        <w:tc>
          <w:tcPr>
            <w:tcW w:w="1985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52974" w14:textId="77777777" w:rsidR="00DF4202" w:rsidRPr="00AB5563" w:rsidRDefault="00000000">
            <w:pPr>
              <w:spacing w:line="280" w:lineRule="auto"/>
              <w:jc w:val="center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★★</w:t>
            </w:r>
          </w:p>
        </w:tc>
        <w:tc>
          <w:tcPr>
            <w:tcW w:w="5537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421E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MFDS·FDA 인증 경로 구체화 필요</w:t>
            </w:r>
          </w:p>
        </w:tc>
      </w:tr>
    </w:tbl>
    <w:p w14:paraId="189DB7A4" w14:textId="77777777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46" w:name="_Toc229316881"/>
      <w:r w:rsidRPr="00AB5563">
        <w:rPr>
          <w:rFonts w:asciiTheme="minorHAnsi" w:eastAsiaTheme="minorHAnsi" w:hAnsiTheme="minorHAnsi"/>
        </w:rPr>
        <w:lastRenderedPageBreak/>
        <w:t>10-3. 증명 포인트 — 투자자 관점 체크리스트</w:t>
      </w:r>
      <w:bookmarkEnd w:id="46"/>
    </w:p>
    <w:p w14:paraId="759ABAEF" w14:textId="77777777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아래 항목이 12~18개월 내 가시화될 경우, 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BioSpero</w:t>
      </w:r>
      <w:proofErr w:type="spellEnd"/>
      <w:r w:rsidRPr="00AB5563">
        <w:rPr>
          <w:rFonts w:asciiTheme="minorHAnsi" w:eastAsiaTheme="minorHAnsi" w:hAnsiTheme="minorHAnsi"/>
          <w:color w:val="1C2330"/>
        </w:rPr>
        <w:t>의 글로벌 진출은 사실상 검증 완료된다.</w:t>
      </w:r>
    </w:p>
    <w:p w14:paraId="4C02510B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="Segoe UI Symbol" w:eastAsiaTheme="minorHAnsi" w:hAnsi="Segoe UI Symbol" w:cs="Segoe UI Symbol"/>
          <w:b/>
          <w:bCs/>
          <w:color w:val="1C69D4"/>
        </w:rPr>
        <w:t>✓</w:t>
      </w:r>
      <w:r w:rsidRPr="00AB5563">
        <w:rPr>
          <w:rFonts w:asciiTheme="minorHAnsi" w:eastAsiaTheme="minorHAnsi" w:hAnsiTheme="minorHAnsi"/>
          <w:b/>
          <w:bCs/>
          <w:color w:val="1C69D4"/>
        </w:rPr>
        <w:t xml:space="preserve"> </w:t>
      </w:r>
      <w:r w:rsidRPr="00AB5563">
        <w:rPr>
          <w:rFonts w:asciiTheme="minorHAnsi" w:eastAsiaTheme="minorHAnsi" w:hAnsiTheme="minorHAnsi"/>
          <w:color w:val="1C2330"/>
        </w:rPr>
        <w:t>일본 SPI 독점 계약 서명 완료</w:t>
      </w:r>
    </w:p>
    <w:p w14:paraId="0FEBF455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="Segoe UI Symbol" w:eastAsiaTheme="minorHAnsi" w:hAnsi="Segoe UI Symbol" w:cs="Segoe UI Symbol"/>
          <w:b/>
          <w:bCs/>
          <w:color w:val="1C69D4"/>
        </w:rPr>
        <w:t>✓</w:t>
      </w:r>
      <w:r w:rsidRPr="00AB5563">
        <w:rPr>
          <w:rFonts w:asciiTheme="minorHAnsi" w:eastAsiaTheme="minorHAnsi" w:hAnsiTheme="minorHAnsi"/>
          <w:b/>
          <w:bCs/>
          <w:color w:val="1C69D4"/>
        </w:rPr>
        <w:t xml:space="preserve"> </w:t>
      </w:r>
      <w:r w:rsidRPr="00AB5563">
        <w:rPr>
          <w:rFonts w:asciiTheme="minorHAnsi" w:eastAsiaTheme="minorHAnsi" w:hAnsiTheme="minorHAnsi"/>
          <w:color w:val="1C2330"/>
        </w:rPr>
        <w:t>일본 제약사(</w:t>
      </w:r>
      <w:proofErr w:type="spellStart"/>
      <w:r w:rsidRPr="00AB5563">
        <w:rPr>
          <w:rFonts w:asciiTheme="minorHAnsi" w:eastAsiaTheme="minorHAnsi" w:hAnsiTheme="minorHAnsi"/>
          <w:color w:val="1C2330"/>
        </w:rPr>
        <w:t>Daiichi-Sankyo·Eisai·Astellas</w:t>
      </w:r>
      <w:proofErr w:type="spellEnd"/>
      <w:r w:rsidRPr="00AB5563">
        <w:rPr>
          <w:rFonts w:asciiTheme="minorHAnsi" w:eastAsiaTheme="minorHAnsi" w:hAnsiTheme="minorHAnsi"/>
          <w:color w:val="1C2330"/>
        </w:rPr>
        <w:t>) 중 1개사 유료 계약 전환</w:t>
      </w:r>
    </w:p>
    <w:p w14:paraId="6A09127B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="Segoe UI Symbol" w:eastAsiaTheme="minorHAnsi" w:hAnsi="Segoe UI Symbol" w:cs="Segoe UI Symbol"/>
          <w:b/>
          <w:bCs/>
          <w:color w:val="1C69D4"/>
        </w:rPr>
        <w:t>✓</w:t>
      </w:r>
      <w:r w:rsidRPr="00AB5563">
        <w:rPr>
          <w:rFonts w:asciiTheme="minorHAnsi" w:eastAsiaTheme="minorHAnsi" w:hAnsiTheme="minorHAnsi"/>
          <w:b/>
          <w:bCs/>
          <w:color w:val="1C69D4"/>
        </w:rPr>
        <w:t xml:space="preserve"> </w:t>
      </w:r>
      <w:r w:rsidRPr="00AB5563">
        <w:rPr>
          <w:rFonts w:asciiTheme="minorHAnsi" w:eastAsiaTheme="minorHAnsi" w:hAnsiTheme="minorHAnsi"/>
          <w:color w:val="1C2330"/>
        </w:rPr>
        <w:t>첫 IND 데이터 패키지 납품 사례 (</w:t>
      </w:r>
      <w:proofErr w:type="spellStart"/>
      <w:r w:rsidRPr="00AB5563">
        <w:rPr>
          <w:rFonts w:asciiTheme="minorHAnsi" w:eastAsiaTheme="minorHAnsi" w:hAnsiTheme="minorHAnsi"/>
          <w:color w:val="1C2330"/>
        </w:rPr>
        <w:t>BiolabXpert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>)</w:t>
      </w:r>
    </w:p>
    <w:p w14:paraId="7916DBF6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="Segoe UI Symbol" w:eastAsiaTheme="minorHAnsi" w:hAnsi="Segoe UI Symbol" w:cs="Segoe UI Symbol"/>
          <w:b/>
          <w:bCs/>
          <w:color w:val="1C69D4"/>
        </w:rPr>
        <w:t>✓</w:t>
      </w:r>
      <w:r w:rsidRPr="00AB5563">
        <w:rPr>
          <w:rFonts w:asciiTheme="minorHAnsi" w:eastAsiaTheme="minorHAnsi" w:hAnsiTheme="minorHAnsi"/>
          <w:b/>
          <w:bCs/>
          <w:color w:val="1C69D4"/>
        </w:rPr>
        <w:t xml:space="preserve"> </w:t>
      </w:r>
      <w:r w:rsidRPr="00AB5563">
        <w:rPr>
          <w:rFonts w:asciiTheme="minorHAnsi" w:eastAsiaTheme="minorHAnsi" w:hAnsiTheme="minorHAnsi"/>
          <w:color w:val="1C2330"/>
        </w:rPr>
        <w:t>FDA ISTAND 사전 미팅 일정 수립</w:t>
      </w:r>
    </w:p>
    <w:p w14:paraId="7D01600E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="Segoe UI Symbol" w:eastAsiaTheme="minorHAnsi" w:hAnsi="Segoe UI Symbol" w:cs="Segoe UI Symbol"/>
          <w:b/>
          <w:bCs/>
          <w:color w:val="1C69D4"/>
        </w:rPr>
        <w:t>✓</w:t>
      </w:r>
      <w:r w:rsidRPr="00AB5563">
        <w:rPr>
          <w:rFonts w:asciiTheme="minorHAnsi" w:eastAsiaTheme="minorHAnsi" w:hAnsiTheme="minorHAnsi"/>
          <w:b/>
          <w:bCs/>
          <w:color w:val="1C69D4"/>
        </w:rPr>
        <w:t xml:space="preserve"> </w:t>
      </w:r>
      <w:proofErr w:type="spellStart"/>
      <w:r w:rsidRPr="00AB5563">
        <w:rPr>
          <w:rFonts w:asciiTheme="minorHAnsi" w:eastAsiaTheme="minorHAnsi" w:hAnsiTheme="minorHAnsi"/>
          <w:color w:val="1C2330"/>
        </w:rPr>
        <w:t>OrganXpert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Pro (n=12) 정식 출시</w:t>
      </w:r>
    </w:p>
    <w:p w14:paraId="38CEE44F" w14:textId="77777777" w:rsidR="00DF4202" w:rsidRPr="00AB5563" w:rsidRDefault="00000000">
      <w:pPr>
        <w:pStyle w:val="a4"/>
        <w:numPr>
          <w:ilvl w:val="0"/>
          <w:numId w:val="2"/>
        </w:numPr>
        <w:spacing w:before="30" w:after="30" w:line="300" w:lineRule="auto"/>
        <w:rPr>
          <w:rFonts w:asciiTheme="minorHAnsi" w:eastAsiaTheme="minorHAnsi" w:hAnsiTheme="minorHAnsi"/>
        </w:rPr>
      </w:pPr>
      <w:r w:rsidRPr="00AB5563">
        <w:rPr>
          <w:rFonts w:ascii="Segoe UI Symbol" w:eastAsiaTheme="minorHAnsi" w:hAnsi="Segoe UI Symbol" w:cs="Segoe UI Symbol"/>
          <w:b/>
          <w:bCs/>
          <w:color w:val="1C69D4"/>
        </w:rPr>
        <w:t>✓</w:t>
      </w:r>
      <w:r w:rsidRPr="00AB5563">
        <w:rPr>
          <w:rFonts w:asciiTheme="minorHAnsi" w:eastAsiaTheme="minorHAnsi" w:hAnsiTheme="minorHAnsi"/>
          <w:b/>
          <w:bCs/>
          <w:color w:val="1C69D4"/>
        </w:rPr>
        <w:t xml:space="preserve"> </w:t>
      </w:r>
      <w:r w:rsidRPr="00AB5563">
        <w:rPr>
          <w:rFonts w:asciiTheme="minorHAnsi" w:eastAsiaTheme="minorHAnsi" w:hAnsiTheme="minorHAnsi"/>
          <w:color w:val="1C2330"/>
        </w:rPr>
        <w:t>임직원 20명 이상 확충</w:t>
      </w:r>
    </w:p>
    <w:p w14:paraId="741981D7" w14:textId="77777777" w:rsidR="00DF4202" w:rsidRPr="00AB5563" w:rsidRDefault="00DF4202">
      <w:pPr>
        <w:spacing w:before="120"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4202" w:rsidRPr="00AB5563" w14:paraId="67C69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E22718"/>
              <w:bottom w:val="none" w:sz="0" w:space="0" w:color="FFFFFF"/>
              <w:right w:val="none" w:sz="0" w:space="0" w:color="FFFFFF"/>
            </w:tcBorders>
            <w:shd w:val="clear" w:color="auto" w:fill="FBF1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96F877" w14:textId="77777777" w:rsidR="00DF4202" w:rsidRPr="00AB5563" w:rsidRDefault="00000000">
            <w:pPr>
              <w:spacing w:after="60"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</w:rPr>
              <w:t xml:space="preserve">최종 결론. </w:t>
            </w:r>
            <w:r w:rsidRPr="00AB5563">
              <w:rPr>
                <w:rFonts w:asciiTheme="minorHAnsi" w:eastAsiaTheme="minorHAnsi" w:hAnsiTheme="minorHAnsi"/>
                <w:color w:val="1C2330"/>
              </w:rPr>
              <w:t xml:space="preserve">기술과 타이밍은 맞다. 일본 SPI 계약 서명 + 첫 IND 데이터 납품이 본 건 투자의 핵심 증명 포인트다. 핵심고객은 화장품 제조사가 아닌 글로벌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</w:rPr>
              <w:t>빅파마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</w:rPr>
              <w:t xml:space="preserve"> R&amp;D 직판이며, 한국 CRO 서비스는 데이터 축적의 보조 채널로 운용한다.</w:t>
            </w:r>
          </w:p>
        </w:tc>
      </w:tr>
    </w:tbl>
    <w:p w14:paraId="493B5AFF" w14:textId="77777777" w:rsidR="00DF4202" w:rsidRPr="00AB5563" w:rsidRDefault="00000000">
      <w:pPr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</w:rPr>
        <w:br w:type="page"/>
      </w:r>
    </w:p>
    <w:p w14:paraId="051EC015" w14:textId="05A13910" w:rsidR="00DF4202" w:rsidRPr="00AB5563" w:rsidRDefault="00000000" w:rsidP="005D5864">
      <w:pPr>
        <w:pStyle w:val="1"/>
        <w:pBdr>
          <w:bottom w:val="single" w:sz="18" w:space="0" w:color="1C69D4"/>
        </w:pBdr>
        <w:rPr>
          <w:rFonts w:asciiTheme="minorHAnsi" w:eastAsiaTheme="minorHAnsi" w:hAnsiTheme="minorHAnsi"/>
        </w:rPr>
      </w:pPr>
      <w:bookmarkStart w:id="47" w:name="_Toc229316882"/>
      <w:r w:rsidRPr="00AB5563">
        <w:rPr>
          <w:rFonts w:asciiTheme="minorHAnsi" w:eastAsiaTheme="minorHAnsi" w:hAnsiTheme="minorHAnsi"/>
        </w:rPr>
        <w:lastRenderedPageBreak/>
        <w:t>부록 — 출처</w:t>
      </w:r>
      <w:bookmarkEnd w:id="47"/>
    </w:p>
    <w:p w14:paraId="25D2FBC5" w14:textId="05A13910" w:rsidR="00DF4202" w:rsidRPr="00AB5563" w:rsidRDefault="00000000">
      <w:pPr>
        <w:pStyle w:val="2"/>
        <w:rPr>
          <w:rFonts w:asciiTheme="minorHAnsi" w:eastAsiaTheme="minorHAnsi" w:hAnsiTheme="minorHAnsi"/>
        </w:rPr>
      </w:pPr>
      <w:bookmarkStart w:id="48" w:name="_Toc229316883"/>
      <w:r w:rsidRPr="00AB5563">
        <w:rPr>
          <w:rFonts w:asciiTheme="minorHAnsi" w:eastAsiaTheme="minorHAnsi" w:hAnsiTheme="minorHAnsi"/>
        </w:rPr>
        <w:t xml:space="preserve">A. </w:t>
      </w:r>
      <w:bookmarkStart w:id="49" w:name="_Toc229316884"/>
      <w:bookmarkEnd w:id="48"/>
      <w:r w:rsidRPr="00AB5563">
        <w:rPr>
          <w:rFonts w:asciiTheme="minorHAnsi" w:eastAsiaTheme="minorHAnsi" w:hAnsiTheme="minorHAnsi"/>
        </w:rPr>
        <w:t>주요 데이터 출처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5821"/>
      </w:tblGrid>
      <w:tr w:rsidR="00DF4202" w:rsidRPr="00AB5563" w14:paraId="3B79FD0D" w14:textId="77777777" w:rsidTr="005D58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1756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데이터</w:t>
            </w:r>
          </w:p>
        </w:tc>
        <w:tc>
          <w:tcPr>
            <w:tcW w:w="5821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0E8A5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출처</w:t>
            </w:r>
          </w:p>
        </w:tc>
      </w:tr>
      <w:tr w:rsidR="00DF4202" w:rsidRPr="00AB5563" w14:paraId="5FBC4A6C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D9FF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FDA Modernization Act 2.0 원문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F4C3B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congress.gov/bill/117th-congress/senate-bill/5002</w:t>
            </w:r>
          </w:p>
        </w:tc>
      </w:tr>
      <w:tr w:rsidR="00DF4202" w:rsidRPr="00AB5563" w14:paraId="4C978643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00D0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FDA 2025.04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mAb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로드맵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02EF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fda.gov/news-events/press-announcements</w:t>
            </w:r>
          </w:p>
        </w:tc>
      </w:tr>
      <w:tr w:rsidR="00DF4202" w:rsidRPr="00AB5563" w14:paraId="2C48EE37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696D2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FDA 2026.03 NAMs 가이드라인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4F85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fda.gov/news-events/press-announcements</w:t>
            </w:r>
          </w:p>
        </w:tc>
      </w:tr>
      <w:tr w:rsidR="00DF4202" w:rsidRPr="00AB5563" w14:paraId="44D345CA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7731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MFDS 동물대체시험 현황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6512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hitnews.co.kr · pharm.edaily.co.kr</w:t>
            </w:r>
          </w:p>
        </w:tc>
      </w:tr>
      <w:tr w:rsidR="00DF4202" w:rsidRPr="00AB5563" w14:paraId="34012AD2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9385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MFDS NAMs 보고서 (2023)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23E6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ntp.niehs.nih.gov/MFDS_NAMs_Report-2023</w:t>
            </w:r>
          </w:p>
        </w:tc>
      </w:tr>
      <w:tr w:rsidR="00DF4202" w:rsidRPr="00AB5563" w14:paraId="25C9AFAC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48A9D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PubMed </w:t>
            </w: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OoC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논문 실측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6781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pubmed.ncbi.nlm.nih.gov (Playwright MCP 직접 탐색)</w:t>
            </w:r>
          </w:p>
        </w:tc>
      </w:tr>
      <w:tr w:rsidR="00DF4202" w:rsidRPr="00AB5563" w14:paraId="32A42270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51E7E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 xml:space="preserve"> 기술·BM·전략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FACC7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BioSpero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IR 문서 직접 분석</w:t>
            </w:r>
          </w:p>
        </w:tc>
      </w:tr>
      <w:tr w:rsidR="00DF4202" w:rsidRPr="00AB5563" w14:paraId="441AC4DB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9FBDA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Animal Law Review 2024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FB9E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lawcommons.lclark.edu/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alr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/vol30/iss2/2</w:t>
            </w:r>
          </w:p>
        </w:tc>
      </w:tr>
      <w:tr w:rsidR="00DF4202" w:rsidRPr="00AB5563" w14:paraId="65F787D3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ED06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시장 규모</w:t>
            </w:r>
          </w:p>
        </w:tc>
        <w:tc>
          <w:tcPr>
            <w:tcW w:w="5821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E379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MarketsandMarkets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Grand View Research · </w:t>
            </w:r>
            <w:proofErr w:type="spell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Stratview</w:t>
            </w:r>
            <w:proofErr w:type="spell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 xml:space="preserve"> · KBV</w:t>
            </w:r>
          </w:p>
        </w:tc>
      </w:tr>
    </w:tbl>
    <w:p w14:paraId="6422A00A" w14:textId="6B35EB60" w:rsidR="00DF4202" w:rsidRPr="00AB5563" w:rsidRDefault="005D5864">
      <w:pPr>
        <w:pStyle w:val="2"/>
        <w:rPr>
          <w:rFonts w:asciiTheme="minorHAnsi" w:eastAsiaTheme="minorHAnsi" w:hAnsiTheme="minorHAnsi"/>
        </w:rPr>
      </w:pPr>
      <w:bookmarkStart w:id="50" w:name="_Toc229316885"/>
      <w:r>
        <w:rPr>
          <w:rFonts w:asciiTheme="minorHAnsi" w:eastAsiaTheme="minorHAnsi" w:hAnsiTheme="minorHAnsi"/>
        </w:rPr>
        <w:t>B</w:t>
      </w:r>
      <w:r w:rsidR="00000000" w:rsidRPr="00AB5563">
        <w:rPr>
          <w:rFonts w:asciiTheme="minorHAnsi" w:eastAsiaTheme="minorHAnsi" w:hAnsiTheme="minorHAnsi"/>
        </w:rPr>
        <w:t xml:space="preserve">. PubMed 실측 — 한국 </w:t>
      </w:r>
      <w:proofErr w:type="spellStart"/>
      <w:r w:rsidR="00000000" w:rsidRPr="00AB5563">
        <w:rPr>
          <w:rFonts w:asciiTheme="minorHAnsi" w:eastAsiaTheme="minorHAnsi" w:hAnsiTheme="minorHAnsi"/>
        </w:rPr>
        <w:t>OoC</w:t>
      </w:r>
      <w:proofErr w:type="spellEnd"/>
      <w:r w:rsidR="00000000" w:rsidRPr="00AB5563">
        <w:rPr>
          <w:rFonts w:asciiTheme="minorHAnsi" w:eastAsiaTheme="minorHAnsi" w:hAnsiTheme="minorHAnsi"/>
        </w:rPr>
        <w:t xml:space="preserve"> 연구 현황</w:t>
      </w:r>
      <w:bookmarkEnd w:id="50"/>
    </w:p>
    <w:p w14:paraId="1F62792D" w14:textId="69BCC0C3" w:rsidR="00DF4202" w:rsidRPr="00AB5563" w:rsidRDefault="00000000">
      <w:pPr>
        <w:spacing w:before="6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 xml:space="preserve">PubMed 직접 탐색 (2026.05.08 기준). </w:t>
      </w:r>
      <w:proofErr w:type="spellStart"/>
      <w:r w:rsidRPr="00AB5563">
        <w:rPr>
          <w:rFonts w:asciiTheme="minorHAnsi" w:eastAsiaTheme="minorHAnsi" w:hAnsiTheme="minorHAnsi"/>
          <w:color w:val="1C2330"/>
        </w:rPr>
        <w:t>검색식</w:t>
      </w:r>
      <w:proofErr w:type="spellEnd"/>
      <w:r w:rsidRPr="00AB5563">
        <w:rPr>
          <w:rFonts w:asciiTheme="minorHAnsi" w:eastAsiaTheme="minorHAnsi" w:hAnsiTheme="minorHAnsi"/>
          <w:color w:val="1C2330"/>
        </w:rPr>
        <w:t>: "organ-on-a-chip" AND "Korea"[ad].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66"/>
        <w:gridCol w:w="5254"/>
      </w:tblGrid>
      <w:tr w:rsidR="00DF4202" w:rsidRPr="00AB5563" w14:paraId="07B5CC03" w14:textId="77777777" w:rsidTr="005D58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F692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1766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19A50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논문 수</w:t>
            </w:r>
          </w:p>
        </w:tc>
        <w:tc>
          <w:tcPr>
            <w:tcW w:w="5254" w:type="dxa"/>
            <w:tcBorders>
              <w:top w:val="single" w:sz="4" w:space="0" w:color="1C69D4"/>
              <w:left w:val="single" w:sz="4" w:space="0" w:color="1C69D4"/>
              <w:bottom w:val="single" w:sz="4" w:space="0" w:color="1C69D4"/>
              <w:right w:val="single" w:sz="4" w:space="0" w:color="1C69D4"/>
            </w:tcBorders>
            <w:shd w:val="clear" w:color="auto" w:fill="1C6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9E22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FFFFFF"/>
                <w:sz w:val="21"/>
                <w:szCs w:val="21"/>
              </w:rPr>
              <w:t>비고</w:t>
            </w:r>
          </w:p>
        </w:tc>
      </w:tr>
      <w:tr w:rsidR="00DF4202" w:rsidRPr="00AB5563" w14:paraId="4214AA55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03A66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글로벌 전체</w:t>
            </w:r>
          </w:p>
        </w:tc>
        <w:tc>
          <w:tcPr>
            <w:tcW w:w="176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D347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2,134건</w:t>
            </w:r>
          </w:p>
        </w:tc>
        <w:tc>
          <w:tcPr>
            <w:tcW w:w="525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1C7A4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"</w:t>
            </w:r>
            <w:proofErr w:type="gramStart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organ</w:t>
            </w:r>
            <w:proofErr w:type="gramEnd"/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-on-a-chip" (2015~2026)</w:t>
            </w:r>
          </w:p>
        </w:tc>
      </w:tr>
      <w:tr w:rsidR="00DF4202" w:rsidRPr="00AB5563" w14:paraId="5633C1AE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74ADC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한국 기관 소속</w:t>
            </w:r>
          </w:p>
        </w:tc>
        <w:tc>
          <w:tcPr>
            <w:tcW w:w="176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F947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164건</w:t>
            </w:r>
          </w:p>
        </w:tc>
        <w:tc>
          <w:tcPr>
            <w:tcW w:w="525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E8791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E22718"/>
                <w:sz w:val="20"/>
                <w:szCs w:val="20"/>
              </w:rPr>
              <w:t>글로벌 점유율 7.7% — Top 3 (US·CN·KR)</w:t>
            </w:r>
          </w:p>
        </w:tc>
      </w:tr>
      <w:tr w:rsidR="00DF4202" w:rsidRPr="00AB5563" w14:paraId="26A745BA" w14:textId="77777777" w:rsidTr="005D58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A21A8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b/>
                <w:bCs/>
                <w:color w:val="0F2244"/>
                <w:sz w:val="20"/>
                <w:szCs w:val="20"/>
              </w:rPr>
              <w:t>미국 표기</w:t>
            </w:r>
          </w:p>
        </w:tc>
        <w:tc>
          <w:tcPr>
            <w:tcW w:w="176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9DDA9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136건</w:t>
            </w:r>
          </w:p>
        </w:tc>
        <w:tc>
          <w:tcPr>
            <w:tcW w:w="525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955A3" w14:textId="77777777" w:rsidR="00DF4202" w:rsidRPr="00AB5563" w:rsidRDefault="00000000">
            <w:pPr>
              <w:spacing w:line="280" w:lineRule="auto"/>
              <w:rPr>
                <w:rFonts w:asciiTheme="minorHAnsi" w:eastAsiaTheme="minorHAnsi" w:hAnsiTheme="minorHAnsi"/>
              </w:rPr>
            </w:pPr>
            <w:r w:rsidRPr="00AB5563">
              <w:rPr>
                <w:rFonts w:asciiTheme="minorHAnsi" w:eastAsiaTheme="minorHAnsi" w:hAnsiTheme="minorHAnsi"/>
                <w:color w:val="1C2330"/>
                <w:sz w:val="20"/>
                <w:szCs w:val="20"/>
              </w:rPr>
              <w:t>실제 미국 수치는 더 높음</w:t>
            </w:r>
          </w:p>
        </w:tc>
      </w:tr>
    </w:tbl>
    <w:p w14:paraId="7A2ABF8B" w14:textId="77777777" w:rsidR="00DF4202" w:rsidRPr="00AB5563" w:rsidRDefault="00000000">
      <w:pPr>
        <w:spacing w:before="100" w:after="60" w:line="300" w:lineRule="auto"/>
        <w:rPr>
          <w:rFonts w:asciiTheme="minorHAnsi" w:eastAsiaTheme="minorHAnsi" w:hAnsiTheme="minorHAnsi"/>
        </w:rPr>
      </w:pPr>
      <w:r w:rsidRPr="00AB5563">
        <w:rPr>
          <w:rFonts w:asciiTheme="minorHAnsi" w:eastAsiaTheme="minorHAnsi" w:hAnsiTheme="minorHAnsi"/>
          <w:color w:val="1C2330"/>
        </w:rPr>
        <w:t>Biosensors (Basel) 2026 논문은 명시적으로 "Research output is dominated by the US, China, and South Korea"</w:t>
      </w:r>
      <w:proofErr w:type="spellStart"/>
      <w:r w:rsidRPr="00AB5563">
        <w:rPr>
          <w:rFonts w:asciiTheme="minorHAnsi" w:eastAsiaTheme="minorHAnsi" w:hAnsiTheme="minorHAnsi"/>
          <w:color w:val="1C2330"/>
        </w:rPr>
        <w:t>라고</w:t>
      </w:r>
      <w:proofErr w:type="spellEnd"/>
      <w:r w:rsidRPr="00AB5563">
        <w:rPr>
          <w:rFonts w:asciiTheme="minorHAnsi" w:eastAsiaTheme="minorHAnsi" w:hAnsiTheme="minorHAnsi"/>
          <w:color w:val="1C2330"/>
        </w:rPr>
        <w:t xml:space="preserve"> 평가한다. 진짜 격차는 학술 → 상업화 → 규제 제출의 전환율이다.</w:t>
      </w:r>
    </w:p>
    <w:sectPr w:rsidR="00DF4202" w:rsidRPr="00AB55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2A7E" w14:textId="77777777" w:rsidR="00F179BE" w:rsidRDefault="00F179BE">
      <w:r>
        <w:separator/>
      </w:r>
    </w:p>
  </w:endnote>
  <w:endnote w:type="continuationSeparator" w:id="0">
    <w:p w14:paraId="6BA7DB0D" w14:textId="77777777" w:rsidR="00F179BE" w:rsidRDefault="00F17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6D02" w14:textId="77777777" w:rsidR="00DF4202" w:rsidRDefault="00000000">
    <w:pPr>
      <w:pBdr>
        <w:top w:val="single" w:sz="4" w:space="4" w:color="CBD5E1"/>
      </w:pBdr>
      <w:spacing w:before="60"/>
      <w:jc w:val="center"/>
    </w:pPr>
    <w:r>
      <w:rPr>
        <w:rFonts w:eastAsia="Calibri"/>
        <w:color w:val="475569"/>
        <w:sz w:val="16"/>
        <w:szCs w:val="16"/>
      </w:rPr>
      <w:t xml:space="preserve">— </w:t>
    </w:r>
    <w:r>
      <w:rPr>
        <w:b/>
        <w:bCs/>
        <w:color w:val="0F2244"/>
        <w:sz w:val="16"/>
        <w:szCs w:val="16"/>
      </w:rPr>
      <w:fldChar w:fldCharType="begin"/>
    </w:r>
    <w:r>
      <w:rPr>
        <w:rFonts w:eastAsia="Calibri"/>
        <w:b/>
        <w:bCs/>
        <w:color w:val="0F2244"/>
        <w:sz w:val="16"/>
        <w:szCs w:val="16"/>
      </w:rPr>
      <w:instrText>PAGE</w:instrText>
    </w:r>
    <w:r>
      <w:rPr>
        <w:b/>
        <w:bCs/>
        <w:color w:val="0F2244"/>
        <w:sz w:val="16"/>
        <w:szCs w:val="16"/>
      </w:rPr>
      <w:fldChar w:fldCharType="separate"/>
    </w:r>
    <w:r w:rsidR="00AB5563">
      <w:rPr>
        <w:rFonts w:eastAsia="Calibri"/>
        <w:b/>
        <w:bCs/>
        <w:noProof/>
        <w:color w:val="0F2244"/>
        <w:sz w:val="16"/>
        <w:szCs w:val="16"/>
      </w:rPr>
      <w:t>1</w:t>
    </w:r>
    <w:r>
      <w:rPr>
        <w:b/>
        <w:bCs/>
        <w:color w:val="0F2244"/>
        <w:sz w:val="16"/>
        <w:szCs w:val="16"/>
      </w:rPr>
      <w:fldChar w:fldCharType="end"/>
    </w:r>
    <w:r>
      <w:rPr>
        <w:rFonts w:eastAsia="Calibri"/>
        <w:color w:val="47556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EBA9C" w14:textId="77777777" w:rsidR="00F179BE" w:rsidRDefault="00F179BE">
      <w:r>
        <w:separator/>
      </w:r>
    </w:p>
  </w:footnote>
  <w:footnote w:type="continuationSeparator" w:id="0">
    <w:p w14:paraId="16607FBF" w14:textId="77777777" w:rsidR="00F179BE" w:rsidRDefault="00F17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EF1C" w14:textId="77777777" w:rsidR="00DF4202" w:rsidRDefault="00000000">
    <w:pPr>
      <w:pBdr>
        <w:bottom w:val="single" w:sz="4" w:space="4" w:color="CBD5E1"/>
      </w:pBdr>
      <w:spacing w:after="60"/>
      <w:jc w:val="right"/>
    </w:pPr>
    <w:proofErr w:type="spellStart"/>
    <w:r>
      <w:rPr>
        <w:rFonts w:eastAsia="Calibri"/>
        <w:color w:val="475569"/>
        <w:sz w:val="16"/>
        <w:szCs w:val="16"/>
      </w:rPr>
      <w:t>BioSpero</w:t>
    </w:r>
    <w:proofErr w:type="spellEnd"/>
    <w:r>
      <w:rPr>
        <w:rFonts w:eastAsia="Calibri"/>
        <w:color w:val="475569"/>
        <w:sz w:val="16"/>
        <w:szCs w:val="16"/>
      </w:rPr>
      <w:t xml:space="preserve"> · 해외진출전략 보고서</w:t>
    </w:r>
    <w:r>
      <w:rPr>
        <w:rFonts w:eastAsia="Calibri"/>
        <w:sz w:val="16"/>
        <w:szCs w:val="16"/>
      </w:rPr>
      <w:t xml:space="preserve">   </w:t>
    </w:r>
    <w:r>
      <w:rPr>
        <w:rFonts w:eastAsia="Calibri"/>
        <w:b/>
        <w:bCs/>
        <w:color w:val="1C69D4"/>
        <w:sz w:val="16"/>
        <w:szCs w:val="16"/>
      </w:rPr>
      <w:t>Gravity Ventures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5DF3"/>
    <w:multiLevelType w:val="hybridMultilevel"/>
    <w:tmpl w:val="E35CF84E"/>
    <w:lvl w:ilvl="0" w:tplc="59660A6E">
      <w:start w:val="1"/>
      <w:numFmt w:val="bullet"/>
      <w:lvlText w:val="•"/>
      <w:lvlJc w:val="left"/>
      <w:pPr>
        <w:ind w:left="540" w:hanging="270"/>
      </w:pPr>
    </w:lvl>
    <w:lvl w:ilvl="1" w:tplc="5DF03B6C">
      <w:numFmt w:val="decimal"/>
      <w:lvlText w:val=""/>
      <w:lvlJc w:val="left"/>
    </w:lvl>
    <w:lvl w:ilvl="2" w:tplc="22F09B64">
      <w:numFmt w:val="decimal"/>
      <w:lvlText w:val=""/>
      <w:lvlJc w:val="left"/>
    </w:lvl>
    <w:lvl w:ilvl="3" w:tplc="E4E61298">
      <w:numFmt w:val="decimal"/>
      <w:lvlText w:val=""/>
      <w:lvlJc w:val="left"/>
    </w:lvl>
    <w:lvl w:ilvl="4" w:tplc="8F60D9FA">
      <w:numFmt w:val="decimal"/>
      <w:lvlText w:val=""/>
      <w:lvlJc w:val="left"/>
    </w:lvl>
    <w:lvl w:ilvl="5" w:tplc="D6D68B5A">
      <w:numFmt w:val="decimal"/>
      <w:lvlText w:val=""/>
      <w:lvlJc w:val="left"/>
    </w:lvl>
    <w:lvl w:ilvl="6" w:tplc="92F8AEB6">
      <w:numFmt w:val="decimal"/>
      <w:lvlText w:val=""/>
      <w:lvlJc w:val="left"/>
    </w:lvl>
    <w:lvl w:ilvl="7" w:tplc="302A3860">
      <w:numFmt w:val="decimal"/>
      <w:lvlText w:val=""/>
      <w:lvlJc w:val="left"/>
    </w:lvl>
    <w:lvl w:ilvl="8" w:tplc="16F0451A">
      <w:numFmt w:val="decimal"/>
      <w:lvlText w:val=""/>
      <w:lvlJc w:val="left"/>
    </w:lvl>
  </w:abstractNum>
  <w:abstractNum w:abstractNumId="1" w15:restartNumberingAfterBreak="0">
    <w:nsid w:val="12F57018"/>
    <w:multiLevelType w:val="hybridMultilevel"/>
    <w:tmpl w:val="22AA2354"/>
    <w:lvl w:ilvl="0" w:tplc="99282098">
      <w:start w:val="1"/>
      <w:numFmt w:val="decimal"/>
      <w:lvlText w:val="%1."/>
      <w:lvlJc w:val="left"/>
      <w:pPr>
        <w:ind w:left="540" w:hanging="360"/>
      </w:pPr>
    </w:lvl>
    <w:lvl w:ilvl="1" w:tplc="C0CCE8EE">
      <w:numFmt w:val="decimal"/>
      <w:lvlText w:val=""/>
      <w:lvlJc w:val="left"/>
    </w:lvl>
    <w:lvl w:ilvl="2" w:tplc="B3FAF950">
      <w:numFmt w:val="decimal"/>
      <w:lvlText w:val=""/>
      <w:lvlJc w:val="left"/>
    </w:lvl>
    <w:lvl w:ilvl="3" w:tplc="1E56324A">
      <w:numFmt w:val="decimal"/>
      <w:lvlText w:val=""/>
      <w:lvlJc w:val="left"/>
    </w:lvl>
    <w:lvl w:ilvl="4" w:tplc="ABA8CBF6">
      <w:numFmt w:val="decimal"/>
      <w:lvlText w:val=""/>
      <w:lvlJc w:val="left"/>
    </w:lvl>
    <w:lvl w:ilvl="5" w:tplc="52527676">
      <w:numFmt w:val="decimal"/>
      <w:lvlText w:val=""/>
      <w:lvlJc w:val="left"/>
    </w:lvl>
    <w:lvl w:ilvl="6" w:tplc="0204BABE">
      <w:numFmt w:val="decimal"/>
      <w:lvlText w:val=""/>
      <w:lvlJc w:val="left"/>
    </w:lvl>
    <w:lvl w:ilvl="7" w:tplc="BBCC02E8">
      <w:numFmt w:val="decimal"/>
      <w:lvlText w:val=""/>
      <w:lvlJc w:val="left"/>
    </w:lvl>
    <w:lvl w:ilvl="8" w:tplc="01347828">
      <w:numFmt w:val="decimal"/>
      <w:lvlText w:val=""/>
      <w:lvlJc w:val="left"/>
    </w:lvl>
  </w:abstractNum>
  <w:abstractNum w:abstractNumId="2" w15:restartNumberingAfterBreak="0">
    <w:nsid w:val="147D27DD"/>
    <w:multiLevelType w:val="hybridMultilevel"/>
    <w:tmpl w:val="E236EFC2"/>
    <w:lvl w:ilvl="0" w:tplc="6A20A75A">
      <w:start w:val="1"/>
      <w:numFmt w:val="decimal"/>
      <w:lvlText w:val="%1."/>
      <w:lvlJc w:val="left"/>
      <w:pPr>
        <w:ind w:left="540" w:hanging="360"/>
      </w:pPr>
    </w:lvl>
    <w:lvl w:ilvl="1" w:tplc="B66256A8">
      <w:numFmt w:val="decimal"/>
      <w:lvlText w:val=""/>
      <w:lvlJc w:val="left"/>
    </w:lvl>
    <w:lvl w:ilvl="2" w:tplc="05B2D8C4">
      <w:numFmt w:val="decimal"/>
      <w:lvlText w:val=""/>
      <w:lvlJc w:val="left"/>
    </w:lvl>
    <w:lvl w:ilvl="3" w:tplc="650CF2C2">
      <w:numFmt w:val="decimal"/>
      <w:lvlText w:val=""/>
      <w:lvlJc w:val="left"/>
    </w:lvl>
    <w:lvl w:ilvl="4" w:tplc="B8D44C3A">
      <w:numFmt w:val="decimal"/>
      <w:lvlText w:val=""/>
      <w:lvlJc w:val="left"/>
    </w:lvl>
    <w:lvl w:ilvl="5" w:tplc="D0A4B8DC">
      <w:numFmt w:val="decimal"/>
      <w:lvlText w:val=""/>
      <w:lvlJc w:val="left"/>
    </w:lvl>
    <w:lvl w:ilvl="6" w:tplc="4950F564">
      <w:numFmt w:val="decimal"/>
      <w:lvlText w:val=""/>
      <w:lvlJc w:val="left"/>
    </w:lvl>
    <w:lvl w:ilvl="7" w:tplc="9BFA3FDE">
      <w:numFmt w:val="decimal"/>
      <w:lvlText w:val=""/>
      <w:lvlJc w:val="left"/>
    </w:lvl>
    <w:lvl w:ilvl="8" w:tplc="92AEC1D8">
      <w:numFmt w:val="decimal"/>
      <w:lvlText w:val=""/>
      <w:lvlJc w:val="left"/>
    </w:lvl>
  </w:abstractNum>
  <w:abstractNum w:abstractNumId="3" w15:restartNumberingAfterBreak="0">
    <w:nsid w:val="166D005F"/>
    <w:multiLevelType w:val="hybridMultilevel"/>
    <w:tmpl w:val="F6C8FF96"/>
    <w:lvl w:ilvl="0" w:tplc="D4AED5DE">
      <w:start w:val="1"/>
      <w:numFmt w:val="bullet"/>
      <w:lvlText w:val="●"/>
      <w:lvlJc w:val="left"/>
      <w:pPr>
        <w:ind w:left="720" w:hanging="360"/>
      </w:pPr>
    </w:lvl>
    <w:lvl w:ilvl="1" w:tplc="358EF21E">
      <w:start w:val="1"/>
      <w:numFmt w:val="bullet"/>
      <w:lvlText w:val="○"/>
      <w:lvlJc w:val="left"/>
      <w:pPr>
        <w:ind w:left="1440" w:hanging="360"/>
      </w:pPr>
    </w:lvl>
    <w:lvl w:ilvl="2" w:tplc="1334FCD2">
      <w:start w:val="1"/>
      <w:numFmt w:val="bullet"/>
      <w:lvlText w:val="■"/>
      <w:lvlJc w:val="left"/>
      <w:pPr>
        <w:ind w:left="2160" w:hanging="360"/>
      </w:pPr>
    </w:lvl>
    <w:lvl w:ilvl="3" w:tplc="C59ED2A6">
      <w:start w:val="1"/>
      <w:numFmt w:val="bullet"/>
      <w:lvlText w:val="●"/>
      <w:lvlJc w:val="left"/>
      <w:pPr>
        <w:ind w:left="2880" w:hanging="360"/>
      </w:pPr>
    </w:lvl>
    <w:lvl w:ilvl="4" w:tplc="CC5EC56C">
      <w:start w:val="1"/>
      <w:numFmt w:val="bullet"/>
      <w:lvlText w:val="○"/>
      <w:lvlJc w:val="left"/>
      <w:pPr>
        <w:ind w:left="3600" w:hanging="360"/>
      </w:pPr>
    </w:lvl>
    <w:lvl w:ilvl="5" w:tplc="720A880E">
      <w:start w:val="1"/>
      <w:numFmt w:val="bullet"/>
      <w:lvlText w:val="■"/>
      <w:lvlJc w:val="left"/>
      <w:pPr>
        <w:ind w:left="4320" w:hanging="360"/>
      </w:pPr>
    </w:lvl>
    <w:lvl w:ilvl="6" w:tplc="15A4A5F2">
      <w:start w:val="1"/>
      <w:numFmt w:val="bullet"/>
      <w:lvlText w:val="●"/>
      <w:lvlJc w:val="left"/>
      <w:pPr>
        <w:ind w:left="5040" w:hanging="360"/>
      </w:pPr>
    </w:lvl>
    <w:lvl w:ilvl="7" w:tplc="C106AE76">
      <w:start w:val="1"/>
      <w:numFmt w:val="bullet"/>
      <w:lvlText w:val="●"/>
      <w:lvlJc w:val="left"/>
      <w:pPr>
        <w:ind w:left="5760" w:hanging="360"/>
      </w:pPr>
    </w:lvl>
    <w:lvl w:ilvl="8" w:tplc="840413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C1A7FA1"/>
    <w:multiLevelType w:val="hybridMultilevel"/>
    <w:tmpl w:val="339436F6"/>
    <w:lvl w:ilvl="0" w:tplc="D8282366">
      <w:start w:val="1"/>
      <w:numFmt w:val="decimal"/>
      <w:lvlText w:val="%1."/>
      <w:lvlJc w:val="left"/>
      <w:pPr>
        <w:ind w:left="540" w:hanging="360"/>
      </w:pPr>
    </w:lvl>
    <w:lvl w:ilvl="1" w:tplc="57B41954">
      <w:numFmt w:val="decimal"/>
      <w:lvlText w:val=""/>
      <w:lvlJc w:val="left"/>
    </w:lvl>
    <w:lvl w:ilvl="2" w:tplc="14AC592E">
      <w:numFmt w:val="decimal"/>
      <w:lvlText w:val=""/>
      <w:lvlJc w:val="left"/>
    </w:lvl>
    <w:lvl w:ilvl="3" w:tplc="A3FCADC2">
      <w:numFmt w:val="decimal"/>
      <w:lvlText w:val=""/>
      <w:lvlJc w:val="left"/>
    </w:lvl>
    <w:lvl w:ilvl="4" w:tplc="8946A3F6">
      <w:numFmt w:val="decimal"/>
      <w:lvlText w:val=""/>
      <w:lvlJc w:val="left"/>
    </w:lvl>
    <w:lvl w:ilvl="5" w:tplc="972E5230">
      <w:numFmt w:val="decimal"/>
      <w:lvlText w:val=""/>
      <w:lvlJc w:val="left"/>
    </w:lvl>
    <w:lvl w:ilvl="6" w:tplc="906AC382">
      <w:numFmt w:val="decimal"/>
      <w:lvlText w:val=""/>
      <w:lvlJc w:val="left"/>
    </w:lvl>
    <w:lvl w:ilvl="7" w:tplc="DB3E7C56">
      <w:numFmt w:val="decimal"/>
      <w:lvlText w:val=""/>
      <w:lvlJc w:val="left"/>
    </w:lvl>
    <w:lvl w:ilvl="8" w:tplc="6C9C2BC0">
      <w:numFmt w:val="decimal"/>
      <w:lvlText w:val=""/>
      <w:lvlJc w:val="left"/>
    </w:lvl>
  </w:abstractNum>
  <w:abstractNum w:abstractNumId="5" w15:restartNumberingAfterBreak="0">
    <w:nsid w:val="786C0D3B"/>
    <w:multiLevelType w:val="hybridMultilevel"/>
    <w:tmpl w:val="95F0B62A"/>
    <w:lvl w:ilvl="0" w:tplc="EC5C4EF6">
      <w:start w:val="1"/>
      <w:numFmt w:val="decimal"/>
      <w:lvlText w:val="%1."/>
      <w:lvlJc w:val="left"/>
      <w:pPr>
        <w:ind w:left="540" w:hanging="360"/>
      </w:pPr>
    </w:lvl>
    <w:lvl w:ilvl="1" w:tplc="AD76F58E">
      <w:numFmt w:val="decimal"/>
      <w:lvlText w:val=""/>
      <w:lvlJc w:val="left"/>
    </w:lvl>
    <w:lvl w:ilvl="2" w:tplc="06DECCA0">
      <w:numFmt w:val="decimal"/>
      <w:lvlText w:val=""/>
      <w:lvlJc w:val="left"/>
    </w:lvl>
    <w:lvl w:ilvl="3" w:tplc="BDE46C8A">
      <w:numFmt w:val="decimal"/>
      <w:lvlText w:val=""/>
      <w:lvlJc w:val="left"/>
    </w:lvl>
    <w:lvl w:ilvl="4" w:tplc="47A4DE96">
      <w:numFmt w:val="decimal"/>
      <w:lvlText w:val=""/>
      <w:lvlJc w:val="left"/>
    </w:lvl>
    <w:lvl w:ilvl="5" w:tplc="C25E0188">
      <w:numFmt w:val="decimal"/>
      <w:lvlText w:val=""/>
      <w:lvlJc w:val="left"/>
    </w:lvl>
    <w:lvl w:ilvl="6" w:tplc="0B7023BA">
      <w:numFmt w:val="decimal"/>
      <w:lvlText w:val=""/>
      <w:lvlJc w:val="left"/>
    </w:lvl>
    <w:lvl w:ilvl="7" w:tplc="0CF8F7E2">
      <w:numFmt w:val="decimal"/>
      <w:lvlText w:val=""/>
      <w:lvlJc w:val="left"/>
    </w:lvl>
    <w:lvl w:ilvl="8" w:tplc="3056BA22">
      <w:numFmt w:val="decimal"/>
      <w:lvlText w:val=""/>
      <w:lvlJc w:val="left"/>
    </w:lvl>
  </w:abstractNum>
  <w:num w:numId="1" w16cid:durableId="782766580">
    <w:abstractNumId w:val="3"/>
    <w:lvlOverride w:ilvl="0">
      <w:startOverride w:val="1"/>
    </w:lvlOverride>
  </w:num>
  <w:num w:numId="2" w16cid:durableId="849224694">
    <w:abstractNumId w:val="0"/>
    <w:lvlOverride w:ilvl="0">
      <w:startOverride w:val="1"/>
    </w:lvlOverride>
  </w:num>
  <w:num w:numId="3" w16cid:durableId="2085910216">
    <w:abstractNumId w:val="1"/>
    <w:lvlOverride w:ilvl="0">
      <w:startOverride w:val="1"/>
    </w:lvlOverride>
  </w:num>
  <w:num w:numId="4" w16cid:durableId="191596652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202"/>
    <w:rsid w:val="005A021F"/>
    <w:rsid w:val="005D5864"/>
    <w:rsid w:val="00AB5563"/>
    <w:rsid w:val="00D47540"/>
    <w:rsid w:val="00DF4202"/>
    <w:rsid w:val="00F1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759BB"/>
  <w15:docId w15:val="{258A49CA-552A-8B46-88D7-DF8D5EB8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 w:line="300" w:lineRule="auto"/>
      <w:outlineLvl w:val="0"/>
    </w:pPr>
    <w:rPr>
      <w:rFonts w:eastAsia="Calibri"/>
      <w:b/>
      <w:bCs/>
      <w:color w:val="0653B6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 w:line="300" w:lineRule="auto"/>
      <w:outlineLvl w:val="1"/>
    </w:pPr>
    <w:rPr>
      <w:rFonts w:eastAsia="Calibri"/>
      <w:b/>
      <w:bCs/>
      <w:color w:val="0F2244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 w:line="300" w:lineRule="auto"/>
      <w:outlineLvl w:val="2"/>
    </w:pPr>
    <w:rPr>
      <w:rFonts w:eastAsia="Calibri"/>
      <w:b/>
      <w:bCs/>
      <w:color w:val="1C69D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B5563"/>
  </w:style>
  <w:style w:type="paragraph" w:styleId="20">
    <w:name w:val="toc 2"/>
    <w:basedOn w:val="a"/>
    <w:next w:val="a"/>
    <w:autoRedefine/>
    <w:uiPriority w:val="39"/>
    <w:unhideWhenUsed/>
    <w:rsid w:val="00AB5563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32</Pages>
  <Words>3645</Words>
  <Characters>20779</Characters>
  <Application>Microsoft Office Word</Application>
  <DocSecurity>0</DocSecurity>
  <Lines>173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BioSpero 해외진출전략 보고서</vt:lpstr>
    </vt:vector>
  </TitlesOfParts>
  <Company/>
  <LinksUpToDate>false</LinksUpToDate>
  <CharactersWithSpaces>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BioSpero 해외진출전략 보고서</dc:title>
  <dc:creator>Gravity Ventures · Scale-up Team</dc:creator>
  <dc:description>Organ-on-Chip 비임상 플랫폼 글로벌 진출 전략 분석</dc:description>
  <cp:lastModifiedBy>란 모</cp:lastModifiedBy>
  <cp:revision>2</cp:revision>
  <dcterms:created xsi:type="dcterms:W3CDTF">2026-05-09T01:16:00Z</dcterms:created>
  <dcterms:modified xsi:type="dcterms:W3CDTF">2026-05-10T06:12:00Z</dcterms:modified>
</cp:coreProperties>
</file>