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500" w:line="300" w:lineRule="auto"/>
      </w:pPr>
      <w:r>
        <w:rPr>
          <w:rFonts w:ascii="NanumSquare" w:hAnsi="NanumSquare" w:eastAsia="NanumSquare"/>
          <w:sz w:val="18"/>
          <w:color w:val="1C69D4"/>
          <w:b/>
        </w:rPr>
        <w:t xml:space="preserve">GRAVITY VENTURES</w:t>
      </w:r>
    </w:p>
    <w:p>
      <w:pPr>
        <w:pStyle w:val="Title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(주)바이오스페로
해외진출전략보고서</w:t>
      </w:r>
    </w:p>
    <w:p>
      <w:pPr>
        <w:pStyle w:val="Subtitle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PESTEL → 3C → STP → Risk Matrix → Scenario 기반 개정판</w:t>
      </w:r>
    </w:p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작성일: 2026년 5월 9일</w:t>
      </w:r>
    </w:p>
    <w:p>
      <w:pPr>
        <w:spacing w:before="0" w:after="24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작성 목적: 비임상/OoC 시장 이해도가 낮은 내부 팀원도 전략 판단의 논리를 따라갈 수 있도록, 기존 보고서를 표준 전략 분석 프레임워크 순서로 재구성</w:t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핵심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일본은 상업 레퍼런스, 미국은 규제 표준성, 한국은 데이터 생산기지, 유럽은 공동검증 파트너다. 인도와 중동은 즉시 1순위가 아니라 CRO 확장성과 국가주도 바이오 허브를 활용하는 2차 옵션으로 본다.</w:t>
            </w:r>
          </w:p>
        </w:tc>
      </w:tr>
    </w:tbl>
    <w:p>
      <w:r>
        <w:br w:type="page"/>
      </w:r>
    </w:p>
    <w:p>
      <w:pPr>
        <w:pStyle w:val="TOCHeading"/>
      </w:pPr>
      <w:r>
        <w:rPr>
          <w:rFonts w:ascii="NanumSquare" w:hAnsi="NanumSquare" w:eastAsia="NanumSquare"/>
          <w:sz w:val="32"/>
          <w:color w:val="0F2244"/>
          <w:b/>
        </w:rPr>
        <w:t xml:space="preserve">목차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※ Word에서 문서를 열고 목차를 우클릭한 뒤 “필드 업데이트”를 선택하세요.</w:t>
      </w:r>
      <w:r>
        <w:fldChar w:fldCharType="end"/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1. Executive Summary — 프레임워크 기반 전략 결론</w:t>
      </w:r>
    </w:p>
    <w:tbl>
      <w:tblPr>
        <w:tblW w:w="9360" w:type="dxa"/>
        <w:tblInd w:w="0" w:type="dxa"/>
        <w:tblBorders>
          <w:top w:val="single" w:sz="4" w:color="D9DEE7"/>
          <w:left w:val="single" w:sz="20" w:color="1C69D4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EAF3FF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1C69D4"/>
                <w:b/>
              </w:rPr>
              <w:t xml:space="preserve">전략 명제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BioSpero는 “연구용 칩 제조사”가 아니라 비임상 의사결정 워크플로우를 제공하는 OoC 플랫폼으로 포지셔닝해야 한다.</w:t>
            </w:r>
          </w:p>
        </w:tc>
      </w:tr>
    </w:tbl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2600"/>
        <w:gridCol w:w="48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분석 프레임워크</w:t>
            </w:r>
          </w:p>
        </w:tc>
        <w:tc>
          <w:tcPr>
            <w:tcW w:w="2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핵심 질문</w:t>
            </w:r>
          </w:p>
        </w:tc>
        <w:tc>
          <w:tcPr>
            <w:tcW w:w="48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전략 결론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PESTEL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왜 지금 시장이 열리는가?</w:t>
            </w:r>
          </w:p>
        </w:tc>
        <w:tc>
          <w:tcPr>
            <w:tcW w:w="4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FDA·MFDS·PMDA/EU 규제 전환과 임상 실패 비용 상승이 OoC 수요를 만든다.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3C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회사·고객·경쟁 구도는?</w:t>
            </w:r>
          </w:p>
        </w:tc>
        <w:tc>
          <w:tcPr>
            <w:tcW w:w="4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BioSpero는 대용량·순환식·Multi-OoC 강점이 있으나 Emulate처럼 규제 레퍼런스는 부족하다.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STP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누구를 먼저 공략할까?</w:t>
            </w:r>
          </w:p>
        </w:tc>
        <w:tc>
          <w:tcPr>
            <w:tcW w:w="4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1차 타깃은 Big Pharma R&amp;D와 비임상 CRO. 화장품은 후순위다.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Risk Matrix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무엇이 실패 요인인가?</w:t>
            </w:r>
          </w:p>
        </w:tc>
        <w:tc>
          <w:tcPr>
            <w:tcW w:w="4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규제 인정, 유상 PoC 전환, 재현성, 해외 채널 실행력이 핵심 리스크다.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Scenario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상황별 대응은?</w:t>
            </w:r>
          </w:p>
        </w:tc>
        <w:tc>
          <w:tcPr>
            <w:tcW w:w="4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SPI 선전환/미국 ISTAND 지연/글로벌 경쟁사 진입 등 4개 시나리오별 액션을 준비한다.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2. PESTEL 분석 — 왜 지금 OoC 시장인가</w:t>
      </w:r>
    </w:p>
    <w:p>
      <w:pPr>
        <w:pStyle w:val="Normal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PESTEL은 BioSpero의 해외진출이 단순한 “시장 진출”이 아니라 규제·기술·경제 변화가 동시에 맞물린 타이밍 플레이인지 확인하기 위한 거시환경 분석이다.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600"/>
        <w:gridCol w:w="3900"/>
        <w:gridCol w:w="3860"/>
      </w:tblGrid>
      <w:tr>
        <w:tc>
          <w:tcPr>
            <w:tcW w:w="1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구분</w:t>
            </w:r>
          </w:p>
        </w:tc>
        <w:tc>
          <w:tcPr>
            <w:tcW w:w="3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핵심 변화</w:t>
            </w:r>
          </w:p>
        </w:tc>
        <w:tc>
          <w:tcPr>
            <w:tcW w:w="38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전략적 의미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Political / Legal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Modernization Act 2.0은 동물실험 의무를 완화하고 nonclinical tests 개념을 확장했다. 한국 MFDS도 세포기반시험·MPS·바이오프린팅·컴퓨터모델링을 일부 허용하기 시작했다.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BioSpero는 미국에서 규제 표준성을, 한국에서 데이터 생산기지를 확보해야 한다.</w:t>
            </w:r>
          </w:p>
        </w:tc>
      </w:tr>
      <w:tr>
        <w:tc>
          <w:tcPr>
            <w:tcW w:w="1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Economic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신약 하나당 개발 비용은 약 15억 달러, 개발 기간은 10년 이상으로 추정된다. 전임상 CRO와 비동물 대체시험 시장은 구조적으로 성장 중이다.</w:t>
            </w:r>
          </w:p>
        </w:tc>
        <w:tc>
          <w:tcPr>
            <w:tcW w:w="3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제약사는 비용 절감보다 “임상 실패를 줄이는 데이터”에 비용을 지불한다.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Social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윤리 문제와 환자 맞춤형 의학 수요가 커지고 있다. EU·미국·일본 모두 동물대체시험에 대한 사회적 수용성이 높다.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OoC는 단순 효율화가 아니라 human-relevant model이라는 사회적 명분을 갖는다.</w:t>
            </w:r>
          </w:p>
        </w:tc>
      </w:tr>
      <w:tr>
        <w:tc>
          <w:tcPr>
            <w:tcW w:w="1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Technological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오가노이드, MPS, in silico, AI 독성예측이 동시에 발전하고 있다. OoC는 이 중 생리적 재현도가 높은 기술군이다.</w:t>
            </w:r>
          </w:p>
        </w:tc>
        <w:tc>
          <w:tcPr>
            <w:tcW w:w="3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BioSpero는 2D/3D 스크리닝 이후 “제출 전 검증” 영역을 잡아야 한다.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Environmental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축소와 실험 효율화는 ESG·윤리 연구 흐름과 연결된다.</w:t>
            </w:r>
          </w:p>
        </w:tc>
        <w:tc>
          <w:tcPr>
            <w:tcW w:w="38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유럽·화장품 시장에서는 보조 논리로 유효하나, BioSpero의 1차 시장은 신약 비임상이다.</w:t>
            </w:r>
          </w:p>
        </w:tc>
      </w:tr>
      <w:tr>
        <w:tc>
          <w:tcPr>
            <w:tcW w:w="1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Regulatory Adoption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ISTAND, Japan MPS Initiative, EU 대체시험 로드맵 등 규제 채택 경로가 만들어지고 있다.</w:t>
            </w:r>
          </w:p>
        </w:tc>
        <w:tc>
          <w:tcPr>
            <w:tcW w:w="38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국가별 진입 우선순위는 “규제 채택 가능성 × 상업 채널”로 정해야 한다.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PESTEL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시장 타이밍은 맞다. 다만 OoC는 아직 대량 스크리닝 표준이 아니라 규제 제출 전 검증·특정 독성평가·복잡 질환모델에서 먼저 채택될 가능성이 높다.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3. 3C 분석 — Company, Customer, Competitor</w:t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3-1. Company: BioSpero 내부 역량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3500"/>
        <w:gridCol w:w="39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역량</w:t>
            </w:r>
          </w:p>
        </w:tc>
        <w:tc>
          <w:tcPr>
            <w:tcW w:w="35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내용</w:t>
            </w:r>
          </w:p>
        </w:tc>
        <w:tc>
          <w:tcPr>
            <w:tcW w:w="39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전략적 해석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대용량 배양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48mm² 배양면적, 3mL 배양액, 12개 칩 독립 제어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분석 가능한 샘플량 확보가 가능해 CRO 서비스와 장기 독성평가에 유리하다.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순환식 유체 제어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연동 펌프 기반 순환 구조</w:t>
            </w:r>
          </w:p>
        </w:tc>
        <w:tc>
          <w:tcPr>
            <w:tcW w:w="39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약물 농도 유지와 장기 실험 안정성에 강점.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Multi-OoC 확장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간·심장·신장 등 장기 연결 가능성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ADME/독성 예측 패키지로 확장 가능.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사업 초기성</w:t>
            </w:r>
          </w:p>
        </w:tc>
        <w:tc>
          <w:tcPr>
            <w:tcW w:w="3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해외 규제 레퍼런스와 반복매출 검증은 부족</w:t>
            </w:r>
          </w:p>
        </w:tc>
        <w:tc>
          <w:tcPr>
            <w:tcW w:w="39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SPI, 첫 IND 데이터 패키지, 유상 PoC가 단기 증명 포인트.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3-2. Customer: 누가 돈을 내는가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2900"/>
        <w:gridCol w:w="3100"/>
        <w:gridCol w:w="14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고객군</w:t>
            </w:r>
          </w:p>
        </w:tc>
        <w:tc>
          <w:tcPr>
            <w:tcW w:w="2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Pain Point</w:t>
            </w:r>
          </w:p>
        </w:tc>
        <w:tc>
          <w:tcPr>
            <w:tcW w:w="31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제안</w:t>
            </w:r>
          </w:p>
        </w:tc>
        <w:tc>
          <w:tcPr>
            <w:tcW w:w="14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우선순위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Big Pharma R&amp;D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동물실험-임상 간 예측 불일치, DILI/심독성 실패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IND 전 검증용 OoC 데이터 패키지</w:t>
            </w:r>
          </w:p>
        </w:tc>
        <w:tc>
          <w:tcPr>
            <w:tcW w:w="14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1순위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비임상 CRO</w:t>
            </w:r>
          </w:p>
        </w:tc>
        <w:tc>
          <w:tcPr>
            <w:tcW w:w="2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고객 제약사에게 차별화된 NAMs 서비스 필요</w:t>
            </w:r>
          </w:p>
        </w:tc>
        <w:tc>
          <w:tcPr>
            <w:tcW w:w="31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장비+칩+프로토콜+공동 서비스</w:t>
            </w:r>
          </w:p>
        </w:tc>
        <w:tc>
          <w:tcPr>
            <w:tcW w:w="14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1순위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학술/병원 연구소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질환모델·환자유래 모델 연구 수요</w:t>
            </w:r>
          </w:p>
        </w:tc>
        <w:tc>
          <w:tcPr>
            <w:tcW w:w="31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플랫폼 판매와 공동연구</w:t>
            </w:r>
          </w:p>
        </w:tc>
        <w:tc>
          <w:tcPr>
            <w:tcW w:w="14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2순위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화장품/식품/화학</w:t>
            </w:r>
          </w:p>
        </w:tc>
        <w:tc>
          <w:tcPr>
            <w:tcW w:w="2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대체 안전성평가</w:t>
            </w:r>
          </w:p>
        </w:tc>
        <w:tc>
          <w:tcPr>
            <w:tcW w:w="31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피부/장벽 모델 일부 적용</w:t>
            </w:r>
          </w:p>
        </w:tc>
        <w:tc>
          <w:tcPr>
            <w:tcW w:w="14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후순위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3-3. Competitor: 경쟁 구도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00"/>
        <w:gridCol w:w="3000"/>
        <w:gridCol w:w="4560"/>
      </w:tblGrid>
      <w:tr>
        <w:tc>
          <w:tcPr>
            <w:tcW w:w="18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기업</w:t>
            </w:r>
          </w:p>
        </w:tc>
        <w:tc>
          <w:tcPr>
            <w:tcW w:w="30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강점</w:t>
            </w:r>
          </w:p>
        </w:tc>
        <w:tc>
          <w:tcPr>
            <w:tcW w:w="45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관점의 회피/공략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Emulate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ISTAND 레퍼런스, 글로벌 인지도</w:t>
            </w:r>
          </w:p>
        </w:tc>
        <w:tc>
          <w:tcPr>
            <w:tcW w:w="45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정면 경쟁 회피. 미국은 파트너십·특정 장기모델 중심.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MIMETAS</w:t>
            </w:r>
          </w:p>
        </w:tc>
        <w:tc>
          <w:tcPr>
            <w:tcW w:w="30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OrganoPlate 고처리량, 표준화</w:t>
            </w:r>
          </w:p>
        </w:tc>
        <w:tc>
          <w:tcPr>
            <w:tcW w:w="45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대용량·장기 실험·서비스형 데이터 패키지로 차별화.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CN Bio / TissUse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간모델, Multi-organ 연구 기반</w:t>
            </w:r>
          </w:p>
        </w:tc>
        <w:tc>
          <w:tcPr>
            <w:tcW w:w="45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다장기 연결성은 중장기 로드맵으로 따라잡되 아시아 채널로 차별화.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MEPSGEN 등 국내 기업</w:t>
            </w:r>
          </w:p>
        </w:tc>
        <w:tc>
          <w:tcPr>
            <w:tcW w:w="30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국내 네트워크와 유사 기술군</w:t>
            </w:r>
          </w:p>
        </w:tc>
        <w:tc>
          <w:tcPr>
            <w:tcW w:w="45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배양면적·배양액·순환식 펌프 우위를 명확히 증명.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1C69D4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EAF3FF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1C69D4"/>
                <w:b/>
              </w:rPr>
              <w:t xml:space="preserve">3C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BioSpero의 경쟁전략은 글로벌 리더를 연구용 플랫폼 성능으로 정면 돌파하는 것이 아니라, “아시아·일본 채널 + 대용량 실험 + CRO 서비스형 데이터”라는 백지를 선점하는 것이다.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4. 기술 차별성 심화 — 왜 다장기 연결이 중요한가</w:t>
      </w:r>
    </w:p>
    <w:p>
      <w:pPr>
        <w:pStyle w:val="Normal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약물은 사람 몸에서 한 장기에만 작용하지 않는다. 흡수, 대사, 분포, 타깃 장기 작용, 배출이 이어지기 때문에 OoC의 효용은 단일 장기 재현보다 여러 장기를 연결해 실제 약물 흐름을 얼마나 모사하느냐에서 커진다.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800"/>
        <w:gridCol w:w="1900"/>
        <w:gridCol w:w="2600"/>
        <w:gridCol w:w="3060"/>
      </w:tblGrid>
      <w:tr>
        <w:tc>
          <w:tcPr>
            <w:tcW w:w="18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약물평가 기능</w:t>
            </w:r>
          </w:p>
        </w:tc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주요 장기/모델</w:t>
            </w:r>
          </w:p>
        </w:tc>
        <w:tc>
          <w:tcPr>
            <w:tcW w:w="2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BioSpero 구현 범위</w:t>
            </w:r>
          </w:p>
        </w:tc>
        <w:tc>
          <w:tcPr>
            <w:tcW w:w="30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전략적 의미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흡수/장벽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장·위장관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장/Barrier-on-chip 가능 영역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경구약 흡수와 장벽 투과성 평가의 출발점.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대사/간독성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간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OrganXpert-Liver 출시 계획 및 핵심 모델</w:t>
            </w:r>
          </w:p>
        </w:tc>
        <w:tc>
          <w:tcPr>
            <w:tcW w:w="3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DILI와 대사체 분석은 제약사 지불의사가 큰 영역.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배출/신독성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신장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CHLA Kidney-on-Chip 공동연구/NDA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IND 전 신독성 패키지로 확장 가능한 핵심 레퍼런스.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중추신경계 투과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뇌/BBB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OrganXpert-BBB 출시 계획 및 BBB 모델 언급</w:t>
            </w:r>
          </w:p>
        </w:tc>
        <w:tc>
          <w:tcPr>
            <w:tcW w:w="3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BBB 통과 약물·신경계 약물 평가에 차별화 여지.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효능/질환모델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암/Tumor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암 모델 가능 영역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항암제 효능과 정상 장기 독성 동시평가로 확장 가능.</w:t>
            </w:r>
          </w:p>
        </w:tc>
      </w:tr>
      <w:tr>
        <w:tc>
          <w:tcPr>
            <w:tcW w:w="18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향후 확장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심장·폐·위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현재 핵심 상용 모델로 단정하기 어려움</w:t>
            </w:r>
          </w:p>
        </w:tc>
        <w:tc>
          <w:tcPr>
            <w:tcW w:w="3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향후 심독성·호흡기 독성·위장관 모델로 확장 가능하나 검증 필요.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4-1. BioSpero 스펙이 실험에서 갖는 의미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2300"/>
        <w:gridCol w:w="2900"/>
        <w:gridCol w:w="22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기술 포인트</w:t>
            </w:r>
          </w:p>
        </w:tc>
        <w:tc>
          <w:tcPr>
            <w:tcW w:w="2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표면적 의미</w:t>
            </w:r>
          </w:p>
        </w:tc>
        <w:tc>
          <w:tcPr>
            <w:tcW w:w="2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실험상 의미</w:t>
            </w:r>
          </w:p>
        </w:tc>
        <w:tc>
          <w:tcPr>
            <w:tcW w:w="2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사업상 의미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48mm² 배양면적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경쟁사 대비 큰 세포 배양 공간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세포 수와 신호량이 커져 LC-MS, ELISA, qPCR 등 후속 분석에 유리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연구용 데모가 아니라 CRO 데이터 패키지화 가능성 증가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3mL 배양액</w:t>
            </w:r>
          </w:p>
        </w:tc>
        <w:tc>
          <w:tcPr>
            <w:tcW w:w="2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경쟁사 대비 큰 배지/시료 용량</w:t>
            </w:r>
          </w:p>
        </w:tc>
        <w:tc>
          <w:tcPr>
            <w:tcW w:w="2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반복 샘플링과 장기 배양 안정성에 유리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고객에게 더 많은 분석 항목을 리포트로 제공 가능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순환식 연동펌프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배지를 한 방향으로 흘리는 것이 아니라 순환 유지</w:t>
            </w:r>
          </w:p>
        </w:tc>
        <w:tc>
          <w:tcPr>
            <w:tcW w:w="2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약물 농도 유지, 장기 노출, 대사체 추적에 유리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장기 독성·반복투여 평가 서비스에 적합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Multi-OoC 확장</w:t>
            </w:r>
          </w:p>
        </w:tc>
        <w:tc>
          <w:tcPr>
            <w:tcW w:w="2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장-간-신장-뇌/BBB 등 연결 가능성</w:t>
            </w:r>
          </w:p>
        </w:tc>
        <w:tc>
          <w:tcPr>
            <w:tcW w:w="2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ADME와 전신 독성 흐름을 모사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단일 칩 판매보다 IND 전 검증 워크플로우로 확장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기술 해석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BioSpero의 강점은 “칩 스펙이 크다”가 아니라 분석 가능한 시료량과 장기 안정성을 확보해 CRO 서비스·IND 전 데이터 패키지로 전환하기 쉽다는 점이다.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5. STP 전략 — 세그먼트, 타깃, 포지셔닝</w:t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4-1. Segmentation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200"/>
        <w:gridCol w:w="2600"/>
        <w:gridCol w:w="2300"/>
        <w:gridCol w:w="2260"/>
      </w:tblGrid>
      <w:tr>
        <w:tc>
          <w:tcPr>
            <w:tcW w:w="22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세그먼트</w:t>
            </w:r>
          </w:p>
        </w:tc>
        <w:tc>
          <w:tcPr>
            <w:tcW w:w="2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구매 동기</w:t>
            </w:r>
          </w:p>
        </w:tc>
        <w:tc>
          <w:tcPr>
            <w:tcW w:w="2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구매 형태</w:t>
            </w:r>
          </w:p>
        </w:tc>
        <w:tc>
          <w:tcPr>
            <w:tcW w:w="2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적합 BM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글로벌/일본 Big Pharma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임상 실패 리스크 절감, 규제 제출 보강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PoC → 반복 실험 → 데이터 패키지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장비+칩+분석서비스</w:t>
            </w:r>
          </w:p>
        </w:tc>
      </w:tr>
      <w:tr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비임상 CRO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서비스 차별화, 고객 제약사 확보</w:t>
            </w:r>
          </w:p>
        </w:tc>
        <w:tc>
          <w:tcPr>
            <w:tcW w:w="2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플랫폼 도입 또는 공동서비스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장비+소모품+라이선스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학술/병원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질환모델 연구, 논문/과제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연구장비 구매, 공동연구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 판매+프로젝트</w:t>
            </w:r>
          </w:p>
        </w:tc>
      </w:tr>
      <w:tr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화장품/화학</w:t>
            </w:r>
          </w:p>
        </w:tc>
        <w:tc>
          <w:tcPr>
            <w:tcW w:w="2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동물실험 대체 안전성</w:t>
            </w:r>
          </w:p>
        </w:tc>
        <w:tc>
          <w:tcPr>
            <w:tcW w:w="2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표준화된 안전성 평가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후순위 서비스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4-2. Targeting 우선순위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1차 타깃: 일본 Big Pharma R&amp;D + 비임상 CRO. SPI 채널과 pre-marketing 피드백이 있어 가장 빠른 유상 전환 가능성이 있다.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2차 타깃: 미국 CRO/학술병원/FDA 파일럿. 규제 표준성을 확보하기 위한 중기 타깃이다.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3차 타깃: 유럽 연구기관·장비 파트너. 공동검증 및 분석장비 연동 생태계 구축에 적합하다.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옵션 타깃: 인도 CRO와 중동 정부·병원 파일럿. 시장성은 있으나 OoC 규제 채택 성숙도가 낮아 2차 옵션으로 관리한다.</w:t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4-3. Positioning Statement</w:t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Positioning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BioSpero는 신약개발사가 IND 전 독성·효능 리스크를 줄이기 위해 사용하는 “대용량·순환식·서비스 결합형 Organ-on-Chip 비임상 검증 플랫폼”이다.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6. 국가별 진입전략 — STP를 실행으로 번역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500"/>
        <w:gridCol w:w="1900"/>
        <w:gridCol w:w="3900"/>
        <w:gridCol w:w="2060"/>
      </w:tblGrid>
      <w:tr>
        <w:tc>
          <w:tcPr>
            <w:tcW w:w="15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국가/권역</w:t>
            </w:r>
          </w:p>
        </w:tc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 역할</w:t>
            </w:r>
          </w:p>
        </w:tc>
        <w:tc>
          <w:tcPr>
            <w:tcW w:w="3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진입 방식</w:t>
            </w:r>
          </w:p>
        </w:tc>
        <w:tc>
          <w:tcPr>
            <w:tcW w:w="20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핵심 KPI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일본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상업 레퍼런스 시장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독점 유통 → Top10 제약사 데모 → 유상 PoC → 장비/소모품 판매</w:t>
            </w:r>
          </w:p>
        </w:tc>
        <w:tc>
          <w:tcPr>
            <w:tcW w:w="2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계약, 유상 PoC 2건, 첫 반복 소모품 매출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미국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규제 표준성 시장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CHLA 등 연구 PoC → CRO 파트너 → FDA ISTAND/논문 기반 데이터 패키지</w:t>
            </w:r>
          </w:p>
        </w:tc>
        <w:tc>
          <w:tcPr>
            <w:tcW w:w="2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FDA-facing 데이터셋, CRO 파트너 1건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유럽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공동검증/장비 연동 시장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Institut Pasteur·BRUKER·Novalix 기반 질환모델 공동검증</w:t>
            </w:r>
          </w:p>
        </w:tc>
        <w:tc>
          <w:tcPr>
            <w:tcW w:w="2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공동논문/공동제품, EU 제약사 접점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한국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데이터 생산기지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BiolabXpert CRO 서비스로 국내 제약사 실험 데이터 축적</w:t>
            </w:r>
          </w:p>
        </w:tc>
        <w:tc>
          <w:tcPr>
            <w:tcW w:w="2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첫 IND 납품, SOP 표준화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인도</w:t>
            </w:r>
          </w:p>
        </w:tc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CRO 확장 옵션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Syngene/Aragen/Sai Life 등 CRO와 저비용 독성평가 서비스 파일럿</w:t>
            </w:r>
          </w:p>
        </w:tc>
        <w:tc>
          <w:tcPr>
            <w:tcW w:w="20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현지 CRO MoU, 간/독성 패키지 PoC</w:t>
            </w:r>
          </w:p>
        </w:tc>
      </w:tr>
      <w:tr>
        <w:tc>
          <w:tcPr>
            <w:tcW w:w="1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중동</w:t>
            </w:r>
          </w:p>
        </w:tc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정책주도 파일럿 옵션</w:t>
            </w:r>
          </w:p>
        </w:tc>
        <w:tc>
          <w:tcPr>
            <w:tcW w:w="3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Saudi/UAE 바이오 허브·병원·대학과 정부 과제형 데모</w:t>
            </w:r>
          </w:p>
        </w:tc>
        <w:tc>
          <w:tcPr>
            <w:tcW w:w="20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정부/병원 파일럿, 정밀의료·독성평가 데모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국가전략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진입 순서는 일본→미국→유럽이며, 인도·중동은 24개월 이후 옵션으로 관리한다. 지금 당장 모든 권역을 넓게 치는 전략은 리소스 분산 리스크가 크다.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7. Risk Matrix — 무엇을 먼저 관리해야 하나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2500"/>
        <w:gridCol w:w="1300"/>
        <w:gridCol w:w="1300"/>
        <w:gridCol w:w="4260"/>
      </w:tblGrid>
      <w:tr>
        <w:tc>
          <w:tcPr>
            <w:tcW w:w="25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리스크</w:t>
            </w:r>
          </w:p>
        </w:tc>
        <w:tc>
          <w:tcPr>
            <w:tcW w:w="1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발생 가능성</w:t>
            </w:r>
          </w:p>
        </w:tc>
        <w:tc>
          <w:tcPr>
            <w:tcW w:w="1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영향도</w:t>
            </w:r>
          </w:p>
        </w:tc>
        <w:tc>
          <w:tcPr>
            <w:tcW w:w="4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관리 전략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규제 인정 지연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4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미국은 ISTAND 직접 진입보다 CRO/병원 데이터셋 축적을 선행한다.</w:t>
            </w:r>
          </w:p>
        </w:tc>
      </w:tr>
      <w:tr>
        <w:tc>
          <w:tcPr>
            <w:tcW w:w="2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일본 SPI 유상 전환 실패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4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pre-marketing 피드백을 가격·기능·SOP 기준으로 전환하고, 유상 PoC 조건을 명확히 한다.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실험 재현성/표준화 부족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4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칩·펌프·분석 프로토콜 SOP와 QC 데이터를 보고서화한다.</w:t>
            </w:r>
          </w:p>
        </w:tc>
      </w:tr>
      <w:tr>
        <w:tc>
          <w:tcPr>
            <w:tcW w:w="2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글로벌 경쟁사 아시아 진입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중상</w:t>
            </w:r>
          </w:p>
        </w:tc>
        <w:tc>
          <w:tcPr>
            <w:tcW w:w="4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대용량·순환식·CRO 서비스 결합 포지션을 빠르게 선점한다.</w:t>
            </w:r>
          </w:p>
        </w:tc>
      </w:tr>
      <w:tr>
        <w:tc>
          <w:tcPr>
            <w:tcW w:w="25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BM 혼선: 장비 vs CRO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4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초기에는 서비스형으로 데이터 축적, 이후 장비+소모품 반복매출로 전환한다.</w:t>
            </w:r>
          </w:p>
        </w:tc>
      </w:tr>
      <w:tr>
        <w:tc>
          <w:tcPr>
            <w:tcW w:w="25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인력/운영 리소스 부족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상</w:t>
            </w:r>
          </w:p>
        </w:tc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중</w:t>
            </w:r>
          </w:p>
        </w:tc>
        <w:tc>
          <w:tcPr>
            <w:tcW w:w="4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일본·한국·미국 3개 축만 우선 관리하고 인도/중동은 파트너 탐색 수준으로 제한한다.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Risk 우선순위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즉시 관리: 일본 유상 PoC 전환, 실험 재현성 SOP, 첫 IND 데이터 패키지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중기 관리: 미국 규제 인정 경로, CRO 파트너십, 다장기 모델 검증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관찰 관리: 인도·중동 확장 옵션, 화장품/식품 안전성 시장, 글로벌 경쟁사 가격 전략</w:t>
      </w:r>
    </w:p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8. Scenario 전략 — 상황이 달라지면 어떻게 움직일까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900"/>
        <w:gridCol w:w="3300"/>
        <w:gridCol w:w="4160"/>
      </w:tblGrid>
      <w:tr>
        <w:tc>
          <w:tcPr>
            <w:tcW w:w="19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시나리오</w:t>
            </w:r>
          </w:p>
        </w:tc>
        <w:tc>
          <w:tcPr>
            <w:tcW w:w="3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발생 조건</w:t>
            </w:r>
          </w:p>
        </w:tc>
        <w:tc>
          <w:tcPr>
            <w:tcW w:w="41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전략 액션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A. 일본 선전환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계약이 빠르게 체결되고 Top10 제약사 중 2곳 이상 유상 PoC 전환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일본을 1차 매출 시장으로 고정. 장비+소모품 번들 가격과 현지 CS 체계 구축.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B. 미국 규제 가속</w:t>
            </w:r>
          </w:p>
        </w:tc>
        <w:tc>
          <w:tcPr>
            <w:tcW w:w="3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 NAMs/ISTAND에서 MPS 데이터 인정 사례가 빠르게 증가</w:t>
            </w:r>
          </w:p>
        </w:tc>
        <w:tc>
          <w:tcPr>
            <w:tcW w:w="41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미국 CRO/학술병원 파트너를 통해 FDA-facing data package를 우선 생산.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C. 규제 지연·시장 보수화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FDA/PMDA 채택이 늦고 제약사 구매 의사결정이 지연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BiolabXpert 서비스형 BM으로 국내/일본 PoC 데이터를 축적하며 연구용·독성평가 매출로 버틴다.</w:t>
            </w:r>
          </w:p>
        </w:tc>
      </w:tr>
      <w:tr>
        <w:tc>
          <w:tcPr>
            <w:tcW w:w="19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D. 글로벌 리더 아시아 진입</w:t>
            </w:r>
          </w:p>
        </w:tc>
        <w:tc>
          <w:tcPr>
            <w:tcW w:w="3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Emulate/MIMETAS가 일본·한국에 직접 진입</w:t>
            </w:r>
          </w:p>
        </w:tc>
        <w:tc>
          <w:tcPr>
            <w:tcW w:w="41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가격 경쟁 대신 대용량·순환식·현지 CRO 서비스와 분석장비 연동으로 차별화.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E. 인도/중동 기회 급부상</w:t>
            </w:r>
          </w:p>
        </w:tc>
        <w:tc>
          <w:tcPr>
            <w:tcW w:w="3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인도 CRO 대형 파트너 또는 Saudi/UAE 정부 과제 연결</w:t>
            </w:r>
          </w:p>
        </w:tc>
        <w:tc>
          <w:tcPr>
            <w:tcW w:w="41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직접 지사 설립이 아니라 현지 파트너 파일럿과 공동서비스 계약으로 옵션 행사.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tbl>
      <w:tblPr>
        <w:tblW w:w="9360" w:type="dxa"/>
        <w:tblInd w:w="0" w:type="dxa"/>
        <w:tblBorders>
          <w:top w:val="single" w:sz="4" w:color="D9DEE7"/>
          <w:left w:val="single" w:sz="20" w:color="1C69D4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EAF3FF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1C69D4"/>
                <w:b/>
              </w:rPr>
              <w:t xml:space="preserve">Scenario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BioSpero는 “한 가지 성공 경로”에 베팅하기보다 일본 매출화, 미국 규제 표준화, 한국 데이터 축적이라는 세 축을 병렬로 운영해야 한다.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9. 12–24개월 실행 로드맵</w:t>
      </w:r>
    </w:p>
    <w:tbl>
      <w:tblPr>
        <w:tblW w:w="9360" w:type="dxa"/>
        <w:tblInd w:w="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1300"/>
        <w:gridCol w:w="2200"/>
        <w:gridCol w:w="3600"/>
        <w:gridCol w:w="2260"/>
      </w:tblGrid>
      <w:tr>
        <w:tc>
          <w:tcPr>
            <w:tcW w:w="13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기간</w:t>
            </w:r>
          </w:p>
        </w:tc>
        <w:tc>
          <w:tcPr>
            <w:tcW w:w="22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주요 목표</w:t>
            </w:r>
          </w:p>
        </w:tc>
        <w:tc>
          <w:tcPr>
            <w:tcW w:w="360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실행 과제</w:t>
            </w:r>
          </w:p>
        </w:tc>
        <w:tc>
          <w:tcPr>
            <w:tcW w:w="2260" w:type="dxa"/>
            <w:shd w:val="clear" w:fill="0F2244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8"/>
                <w:color w:val="FFFFFF"/>
                <w:b/>
              </w:rPr>
              <w:t xml:space="preserve">투자 판단 기준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0–3개월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계약과 국내 데이터 정리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계약 조건 확정, 국내 PoC 데이터 정리, 실험 SOP 문서화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SPI 서명 여부, PoC 전환 가능성</w:t>
            </w:r>
          </w:p>
        </w:tc>
      </w:tr>
      <w:tr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3–6개월</w:t>
            </w:r>
          </w:p>
        </w:tc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첫 유상 PoC 확보</w:t>
            </w:r>
          </w:p>
        </w:tc>
        <w:tc>
          <w:tcPr>
            <w:tcW w:w="3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일본 제약사 데모, BiolabXpert 유료 서비스 패키지화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유상 PoC 1~2건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6–12개월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반복매출 구조 테스트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장비+칩+소모품 가격 모델, CRO 공동서비스 모델 검증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소모품 반복 매출, Gross margin</w:t>
            </w:r>
          </w:p>
        </w:tc>
      </w:tr>
      <w:tr>
        <w:tc>
          <w:tcPr>
            <w:tcW w:w="13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12–18개월</w:t>
            </w:r>
          </w:p>
        </w:tc>
        <w:tc>
          <w:tcPr>
            <w:tcW w:w="22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미국 규제 데이터셋 설계</w:t>
            </w:r>
          </w:p>
        </w:tc>
        <w:tc>
          <w:tcPr>
            <w:tcW w:w="360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CHLA/CRO 파트너 기반 FDA-facing dataset 구성</w:t>
            </w:r>
          </w:p>
        </w:tc>
        <w:tc>
          <w:tcPr>
            <w:tcW w:w="2260" w:type="dxa"/>
            <w:shd w:val="clear" w:fill="F8FAFC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CRO 파트너 1건, 공동논문/데이터셋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  <w:b/>
              </w:rPr>
              <w:t xml:space="preserve">18–24개월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글로벌 확장 옵션 행사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유럽 공동검증, 인도/중동 파트너 탐색</w:t>
            </w:r>
          </w:p>
        </w:tc>
        <w:tc>
          <w:tcPr>
            <w:tcW w:w="2260" w:type="dxa"/>
            <w:vAlign w:val="center"/>
          </w:tcPr>
          <w:p>
            <w:pPr>
              <w:spacing w:before="0" w:after="0" w:line="280" w:lineRule="auto"/>
            </w:pPr>
            <w:r>
              <w:rPr>
                <w:rFonts w:ascii="NanumSquare" w:hAnsi="NanumSquare" w:eastAsia="NanumSquare"/>
                <w:sz w:val="19"/>
                <w:color w:val="1C2330"/>
              </w:rPr>
              <w:t xml:space="preserve">국가별 유상 전환율과 파트너 실행력</w:t>
            </w:r>
          </w:p>
        </w:tc>
      </w:tr>
    </w:tbl>
    <w:p>
      <w:pPr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/>
      </w:r>
    </w:p>
    <w:p>
      <w:pPr>
        <w:pStyle w:val="Heading2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최종 투자 관찰 지표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상업성: 일본 SPI 계약 후 실제 유상 PoC와 반복 소모품 매출이 발생하는가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기술성: 48mm²·3mL·순환식 펌프 우위가 재현성 데이터로 증명되는가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규제성: 미국/일본/한국에서 제출 가능한 데이터 패키지 형태로 정리되는가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확장성: 장비 판매와 CRO 서비스가 충돌하지 않고 고객 획득 퍼널로 연결되는가</w:t>
      </w:r>
    </w:p>
    <w:tbl>
      <w:tblPr>
        <w:tblW w:w="9360" w:type="dxa"/>
        <w:tblInd w:w="0" w:type="dxa"/>
        <w:tblBorders>
          <w:top w:val="single" w:sz="4" w:color="D9DEE7"/>
          <w:left w:val="single" w:sz="20" w:color="E22718"/>
          <w:bottom w:val="single" w:sz="4" w:color="D9DEE7"/>
          <w:right w:val="single" w:sz="4" w:color="D9DEE7"/>
          <w:insideH w:val="nil"/>
          <w:insideV w:val="nil"/>
        </w:tblBorders>
        <w:tblCellMar>
          <w:top w:w="120" w:type="dxa"/>
          <w:bottom w:w="120" w:type="dxa"/>
          <w:left w:w="18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fill="FCEEEE"/>
          </w:tcPr>
          <w:p>
            <w:pPr>
              <w:spacing w:before="0" w:after="0" w:line="300" w:lineRule="auto"/>
            </w:pPr>
            <w:r>
              <w:rPr>
                <w:rFonts w:ascii="NanumSquare" w:hAnsi="NanumSquare" w:eastAsia="NanumSquare"/>
                <w:sz w:val="22"/>
                <w:color w:val="E22718"/>
                <w:b/>
              </w:rPr>
              <w:t xml:space="preserve">최종 결론 — </w:t>
            </w:r>
            <w:r>
              <w:rPr>
                <w:rFonts w:ascii="NanumSquare" w:hAnsi="NanumSquare" w:eastAsia="NanumSquare"/>
                <w:sz w:val="22"/>
                <w:color w:val="1C2330"/>
              </w:rPr>
              <w:t xml:space="preserve">기술과 타이밍은 맞다. 단, 투자 판단의 핵심은 “좋은 칩”이 아니라 일본 유상 PoC, 첫 IND 데이터 패키지, 반복 소모품 매출이라는 세 가지 증명 포인트다.</w:t>
            </w:r>
          </w:p>
        </w:tc>
      </w:tr>
    </w:tbl>
    <w:p>
      <w:r>
        <w:br w:type="page"/>
      </w:r>
    </w:p>
    <w:p>
      <w:pPr>
        <w:pStyle w:val="Heading1"/>
        <w:spacing w:before="0" w:after="12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Appendix. 주요 근거와 참고 출처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FDA Modernization Act 2.0 / Congress.gov: 동물실험 대체 nonclinical tests 허용 흐름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FDA NAMs 및 ISTAND 공개 자료: MPS/OoC의 규제 제출 경로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MFDS 비임상 대체시험 관련 개정 자료: 세포기반시험, 미세생리시스템, 컴퓨터모델링 일부 허용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Grand View Research / IMARC / Mordor Intelligence / MarketsandMarkets: 전임상 CRO 및 OoC 관련 시장 추정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BioSpero IR 자료: OrganXpert-T/O/M, 48mm², 3mL, 순환식 펌프, 일본 SPI 및 글로벌 파트너십</w:t>
      </w:r>
    </w:p>
    <w:p>
      <w:pPr>
        <w:pStyle w:val="ListParagraph"/>
        <w:numPr>
          <w:ilvl w:val="0"/>
          <w:numId w:val="1"/>
        </w:numPr>
        <w:spacing w:after="90" w:line="300" w:lineRule="auto"/>
      </w:pPr>
      <w:r>
        <w:rPr>
          <w:rFonts w:ascii="NanumSquare" w:hAnsi="NanumSquare" w:eastAsia="NanumSquare"/>
          <w:sz w:val="22"/>
          <w:color w:val="1C2330"/>
        </w:rPr>
        <w:t xml:space="preserve">Saudi SFDA National Biotechnology Strategy, UAE Emirates Drug Establishment, India CDSCO/Grand View Research: 인도·중동 확장 옵션 평가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eastAsia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00" w:lineRule="auto"/>
    </w:pPr>
    <w:rPr>
      <w:rFonts w:ascii="NanumSquare" w:hAnsi="NanumSquare" w:eastAsia="NanumSquare"/>
      <w:sz w:val="22"/>
      <w:color w:val="1C2330"/>
    </w:rPr>
  </w:style>
  <w:style w:type="paragraph" w:styleId="Title">
    <w:name w:val="Title"/>
    <w:pPr>
      <w:spacing w:before="0" w:after="240"/>
      <w:jc w:val="left"/>
    </w:pPr>
    <w:rPr>
      <w:rFonts w:ascii="NanumSquare" w:hAnsi="NanumSquare" w:eastAsia="NanumSquare"/>
      <w:b/>
      <w:sz w:val="44"/>
      <w:color w:val="0F2244"/>
    </w:rPr>
  </w:style>
  <w:style w:type="paragraph" w:styleId="Subtitle">
    <w:name w:val="Subtitle"/>
    <w:pPr>
      <w:spacing w:after="320"/>
    </w:pPr>
    <w:rPr>
      <w:rFonts w:ascii="NanumSquare" w:hAnsi="NanumSquare" w:eastAsia="NanumSquare"/>
      <w:sz w:val="24"/>
      <w:color w:val="667085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NanumSquare" w:hAnsi="NanumSquare" w:eastAsia="NanumSquare"/>
      <w:b/>
      <w:sz w:val="32"/>
      <w:color w:val="0653B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NanumSquare" w:hAnsi="NanumSquare" w:eastAsia="NanumSquare"/>
      <w:b/>
      <w:sz w:val="26"/>
      <w:color w:val="1C69D4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NanumSquare" w:hAnsi="NanumSquare" w:eastAsia="NanumSquare"/>
      <w:b/>
      <w:sz w:val="24"/>
      <w:color w:val="0F2244"/>
    </w:rPr>
  </w:style>
  <w:style w:type="paragraph" w:styleId="ListParagraph">
    <w:name w:val="List Paragraph"/>
    <w:basedOn w:val="Normal"/>
    <w:pPr>
      <w:ind w:left="720"/>
    </w:pPr>
  </w:style>
  <w:style w:type="paragraph" w:styleId="TOCHeading">
    <w:name w:val="TOC Heading"/>
    <w:basedOn w:val="Heading1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