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500" w:line="300" w:lineRule="auto"/>
      </w:pPr>
      <w:r>
        <w:rPr>
          <w:rFonts w:ascii="NanumSquare" w:hAnsi="NanumSquare" w:eastAsia="NanumSquare"/>
          <w:sz w:val="18"/>
          <w:color w:val="1C69D4"/>
          <w:b/>
        </w:rPr>
        <w:t xml:space="preserve">GRAVITY VENTURES</w:t>
      </w:r>
    </w:p>
    <w:p>
      <w:pPr>
        <w:pStyle w:val="Title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(주)바이오스페로
해외진출전략보고서</w:t>
      </w:r>
    </w:p>
    <w:p>
      <w:pPr>
        <w:pStyle w:val="Subtitle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PESTEL → 3C → STP → Risk Matrix → Scenario 기반 개정판</w:t>
      </w:r>
    </w:p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작성일: 2026년 5월 9일</w:t>
      </w:r>
    </w:p>
    <w:p>
      <w:pPr>
        <w:spacing w:before="0" w:after="24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작성 목적: 비임상/OoC 시장 이해도가 낮은 내부 팀원도 전략 판단의 논리를 따라갈 수 있도록, 기존 보고서를 표준 전략 분석 프레임워크 순서로 재구성</w:t>
      </w:r>
    </w:p>
    <w:tbl>
      <w:tblPr>
        <w:tblW w:w="9360" w:type="dxa"/>
        <w:tblInd w:w="0" w:type="dxa"/>
        <w:tblBorders>
          <w:top w:val="single" w:sz="4" w:color="D9DEE7"/>
          <w:left w:val="single" w:sz="20" w:color="E22718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FCEEEE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E22718"/>
                <w:b/>
              </w:rPr>
              <w:t xml:space="preserve">핵심 결론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일본은 상업 레퍼런스, 미국은 규제 표준성, 한국은 데이터 생산기지, 유럽은 공동검증 파트너다. 인도와 중동은 즉시 1순위가 아니라 CRO 확장성과 국가주도 바이오 허브를 활용하는 2차 옵션으로 본다.</w:t>
            </w:r>
          </w:p>
        </w:tc>
      </w:tr>
    </w:tbl>
    <w:p>
      <w:pPr>
        <w:pageBreakBefore/>
      </w:pPr>
    </w:p>
    <w:p>
      <w:pPr>
        <w:pStyle w:val="TOCHeading"/>
      </w:pPr>
      <w:r>
        <w:rPr>
          <w:rFonts w:ascii="NanumSquare" w:hAnsi="NanumSquare" w:eastAsia="NanumSquare"/>
          <w:sz w:val="32"/>
          <w:color w:val="0F2244"/>
          <w:b/>
        </w:rPr>
        <w:t xml:space="preserve">목차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※ Word에서 문서를 열고 목차를 우클릭한 뒤 “필드 업데이트”를 선택하세요.</w:t>
      </w:r>
      <w:r>
        <w:fldChar w:fldCharType="end"/>
      </w:r>
    </w:p>
    <w:p>
      <w:pPr>
        <w:pageBreakBefore/>
      </w:pP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1. Executive Summary — 프레임워크 기반 전략 결론</w:t>
      </w:r>
    </w:p>
    <w:tbl>
      <w:tblPr>
        <w:tblW w:w="9360" w:type="dxa"/>
        <w:tblInd w:w="0" w:type="dxa"/>
        <w:tblBorders>
          <w:top w:val="single" w:sz="4" w:color="D9DEE7"/>
          <w:left w:val="single" w:sz="20" w:color="1C69D4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EAF3FF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1C69D4"/>
                <w:b/>
              </w:rPr>
              <w:t xml:space="preserve">전략 명제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BioSpero는 “연구용 칩 제조사”가 아니라 비임상 의사결정 워크플로우를 제공하는 OoC 플랫폼으로 포지셔닝해야 한다.</w:t>
            </w:r>
          </w:p>
        </w:tc>
      </w:tr>
    </w:tbl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900"/>
        <w:gridCol w:w="2600"/>
        <w:gridCol w:w="4860"/>
      </w:tblGrid>
      <w:tr>
        <w:tc>
          <w:tcPr>
            <w:tcW w:w="1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분석 프레임워크</w:t>
            </w:r>
          </w:p>
        </w:tc>
        <w:tc>
          <w:tcPr>
            <w:tcW w:w="26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핵심 질문</w:t>
            </w:r>
          </w:p>
        </w:tc>
        <w:tc>
          <w:tcPr>
            <w:tcW w:w="48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BioSpero 전략 결론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PESTEL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왜 지금 시장이 열리는가?</w:t>
            </w:r>
          </w:p>
        </w:tc>
        <w:tc>
          <w:tcPr>
            <w:tcW w:w="48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FDA·MFDS·PMDA/EU 규제 전환과 임상 실패 비용 상승이 OoC 수요를 만든다.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3C</w:t>
            </w:r>
          </w:p>
        </w:tc>
        <w:tc>
          <w:tcPr>
            <w:tcW w:w="2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회사·고객·경쟁 구도는?</w:t>
            </w:r>
          </w:p>
        </w:tc>
        <w:tc>
          <w:tcPr>
            <w:tcW w:w="48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BioSpero는 대용량·순환식·Multi-OoC 강점이 있으나 Emulate처럼 규제 레퍼런스는 부족하다.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STP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누구를 먼저 공략할까?</w:t>
            </w:r>
          </w:p>
        </w:tc>
        <w:tc>
          <w:tcPr>
            <w:tcW w:w="48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1차 타깃은 Big Pharma R&amp;D와 비임상 CRO. 화장품은 후순위다.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Risk Matrix</w:t>
            </w:r>
          </w:p>
        </w:tc>
        <w:tc>
          <w:tcPr>
            <w:tcW w:w="2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무엇이 실패 요인인가?</w:t>
            </w:r>
          </w:p>
        </w:tc>
        <w:tc>
          <w:tcPr>
            <w:tcW w:w="48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규제 인정, 유상 PoC 전환, 재현성, 해외 채널 실행력이 핵심 리스크다.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Scenario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상황별 대응은?</w:t>
            </w:r>
          </w:p>
        </w:tc>
        <w:tc>
          <w:tcPr>
            <w:tcW w:w="48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일본 SPI 선전환/미국 ISTAND 지연/글로벌 경쟁사 진입 등 4개 시나리오별 액션을 준비한다.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2. PESTEL 분석 — 왜 지금 OoC 시장인가</w:t>
      </w:r>
    </w:p>
    <w:p>
      <w:pPr>
        <w:pStyle w:val="Normal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PESTEL은 BioSpero의 해외진출이 단순한 “시장 진출”이 아니라 규제·기술·경제 변화가 동시에 맞물린 타이밍 플레이인지 확인하기 위한 거시환경 분석이다.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600"/>
        <w:gridCol w:w="3900"/>
        <w:gridCol w:w="3860"/>
      </w:tblGrid>
      <w:tr>
        <w:tc>
          <w:tcPr>
            <w:tcW w:w="16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구분</w:t>
            </w:r>
          </w:p>
        </w:tc>
        <w:tc>
          <w:tcPr>
            <w:tcW w:w="3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핵심 변화</w:t>
            </w:r>
          </w:p>
        </w:tc>
        <w:tc>
          <w:tcPr>
            <w:tcW w:w="38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전략적 의미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Political / Legal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 Modernization Act 2.0은 동물실험 의무를 완화하고 nonclinical tests 개념을 확장했다. 한국 MFDS도 세포기반시험·MPS·바이오프린팅·컴퓨터모델링을 일부 허용하기 시작했다.</w:t>
            </w:r>
          </w:p>
        </w:tc>
        <w:tc>
          <w:tcPr>
            <w:tcW w:w="38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BioSpero는 미국에서 규제 표준성을, 한국에서 데이터 생산기지를 확보해야 한다.</w:t>
            </w:r>
          </w:p>
        </w:tc>
      </w:tr>
      <w:tr>
        <w:tc>
          <w:tcPr>
            <w:tcW w:w="1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Economic</w:t>
            </w:r>
          </w:p>
        </w:tc>
        <w:tc>
          <w:tcPr>
            <w:tcW w:w="3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신약 하나당 개발 비용은 약 15억 달러, 개발 기간은 10년 이상으로 추정된다. 전임상 CRO와 비동물 대체시험 시장은 구조적으로 성장 중이다.</w:t>
            </w:r>
          </w:p>
        </w:tc>
        <w:tc>
          <w:tcPr>
            <w:tcW w:w="38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제약사는 비용 절감보다 “임상 실패를 줄이는 데이터”에 비용을 지불한다.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Social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동물실험 윤리 문제와 환자 맞춤형 의학 수요가 커지고 있다. EU·미국·일본 모두 동물대체시험에 대한 사회적 수용성이 높다.</w:t>
            </w:r>
          </w:p>
        </w:tc>
        <w:tc>
          <w:tcPr>
            <w:tcW w:w="38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OoC는 단순 효율화가 아니라 human-relevant model이라는 사회적 명분을 갖는다.</w:t>
            </w:r>
          </w:p>
        </w:tc>
      </w:tr>
      <w:tr>
        <w:tc>
          <w:tcPr>
            <w:tcW w:w="1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Technological</w:t>
            </w:r>
          </w:p>
        </w:tc>
        <w:tc>
          <w:tcPr>
            <w:tcW w:w="3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오가노이드, MPS, in silico, AI 독성예측이 동시에 발전하고 있다. OoC는 이 중 생리적 재현도가 높은 기술군이다.</w:t>
            </w:r>
          </w:p>
        </w:tc>
        <w:tc>
          <w:tcPr>
            <w:tcW w:w="38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BioSpero는 2D/3D 스크리닝 이후 “제출 전 검증” 영역을 잡아야 한다.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Environmental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동물실험 축소와 실험 효율화는 ESG·윤리 연구 흐름과 연결된다.</w:t>
            </w:r>
          </w:p>
        </w:tc>
        <w:tc>
          <w:tcPr>
            <w:tcW w:w="38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유럽·화장품 시장에서는 보조 논리로 유효하나, BioSpero의 1차 시장은 신약 비임상이다.</w:t>
            </w:r>
          </w:p>
        </w:tc>
      </w:tr>
      <w:tr>
        <w:tc>
          <w:tcPr>
            <w:tcW w:w="1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Regulatory Adoption</w:t>
            </w:r>
          </w:p>
        </w:tc>
        <w:tc>
          <w:tcPr>
            <w:tcW w:w="3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 ISTAND, Japan MPS Initiative, EU 대체시험 로드맵 등 규제 채택 경로가 만들어지고 있다.</w:t>
            </w:r>
          </w:p>
        </w:tc>
        <w:tc>
          <w:tcPr>
            <w:tcW w:w="38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국가별 진입 우선순위는 “규제 채택 가능성 × 상업 채널”로 정해야 한다.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tbl>
      <w:tblPr>
        <w:tblW w:w="9360" w:type="dxa"/>
        <w:tblInd w:w="0" w:type="dxa"/>
        <w:tblBorders>
          <w:top w:val="single" w:sz="4" w:color="D9DEE7"/>
          <w:left w:val="single" w:sz="20" w:color="E22718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FCEEEE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E22718"/>
                <w:b/>
              </w:rPr>
              <w:t xml:space="preserve">PESTEL 결론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시장 타이밍은 맞다. 다만 OoC는 아직 대량 스크리닝 표준이 아니라 규제 제출 전 검증·특정 독성평가·복잡 질환모델에서 먼저 채택될 가능성이 높다.</w:t>
            </w:r>
          </w:p>
        </w:tc>
      </w:tr>
    </w:tbl>
    <w:p>
      <w:pPr>
        <w:pageBreakBefore/>
      </w:pP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3. 3C 분석 — Company, Customer, Competitor</w:t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3-1. Company: BioSpero 내부 역량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900"/>
        <w:gridCol w:w="3500"/>
        <w:gridCol w:w="3960"/>
      </w:tblGrid>
      <w:tr>
        <w:tc>
          <w:tcPr>
            <w:tcW w:w="1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역량</w:t>
            </w:r>
          </w:p>
        </w:tc>
        <w:tc>
          <w:tcPr>
            <w:tcW w:w="35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내용</w:t>
            </w:r>
          </w:p>
        </w:tc>
        <w:tc>
          <w:tcPr>
            <w:tcW w:w="39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전략적 해석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대용량 배양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48mm² 배양면적, 3mL 배양액, 12개 칩 독립 제어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분석 가능한 샘플량 확보가 가능해 CRO 서비스와 장기 독성평가에 유리하다.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순환식 유체 제어</w:t>
            </w:r>
          </w:p>
        </w:tc>
        <w:tc>
          <w:tcPr>
            <w:tcW w:w="3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연동 펌프 기반 순환 구조</w:t>
            </w:r>
          </w:p>
        </w:tc>
        <w:tc>
          <w:tcPr>
            <w:tcW w:w="39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약물 농도 유지와 장기 실험 안정성에 강점.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Multi-OoC 확장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간·심장·신장 등 장기 연결 가능성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ADME/독성 예측 패키지로 확장 가능.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사업 초기성</w:t>
            </w:r>
          </w:p>
        </w:tc>
        <w:tc>
          <w:tcPr>
            <w:tcW w:w="3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해외 규제 레퍼런스와 반복매출 검증은 부족</w:t>
            </w:r>
          </w:p>
        </w:tc>
        <w:tc>
          <w:tcPr>
            <w:tcW w:w="39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일본 SPI, 첫 IND 데이터 패키지, 유상 PoC가 단기 증명 포인트.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3-2. Customer: 누가 돈을 내는가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900"/>
        <w:gridCol w:w="2900"/>
        <w:gridCol w:w="3100"/>
        <w:gridCol w:w="1460"/>
      </w:tblGrid>
      <w:tr>
        <w:tc>
          <w:tcPr>
            <w:tcW w:w="1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고객군</w:t>
            </w:r>
          </w:p>
        </w:tc>
        <w:tc>
          <w:tcPr>
            <w:tcW w:w="2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Pain Point</w:t>
            </w:r>
          </w:p>
        </w:tc>
        <w:tc>
          <w:tcPr>
            <w:tcW w:w="31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BioSpero 제안</w:t>
            </w:r>
          </w:p>
        </w:tc>
        <w:tc>
          <w:tcPr>
            <w:tcW w:w="14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우선순위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Big Pharma R&amp;D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동물실험-임상 간 예측 불일치, DILI/심독성 실패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IND 전 검증용 OoC 데이터 패키지</w:t>
            </w:r>
          </w:p>
        </w:tc>
        <w:tc>
          <w:tcPr>
            <w:tcW w:w="14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1순위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비임상 CRO</w:t>
            </w:r>
          </w:p>
        </w:tc>
        <w:tc>
          <w:tcPr>
            <w:tcW w:w="2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고객 제약사에게 차별화된 NAMs 서비스 필요</w:t>
            </w:r>
          </w:p>
        </w:tc>
        <w:tc>
          <w:tcPr>
            <w:tcW w:w="31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장비+칩+프로토콜+공동 서비스</w:t>
            </w:r>
          </w:p>
        </w:tc>
        <w:tc>
          <w:tcPr>
            <w:tcW w:w="14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1순위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학술/병원 연구소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질환모델·환자유래 모델 연구 수요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플랫폼 판매와 공동연구</w:t>
            </w:r>
          </w:p>
        </w:tc>
        <w:tc>
          <w:tcPr>
            <w:tcW w:w="14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2순위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화장품/식품/화학</w:t>
            </w:r>
          </w:p>
        </w:tc>
        <w:tc>
          <w:tcPr>
            <w:tcW w:w="2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동물실험 대체 안전성평가</w:t>
            </w:r>
          </w:p>
        </w:tc>
        <w:tc>
          <w:tcPr>
            <w:tcW w:w="31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피부/장벽 모델 일부 적용</w:t>
            </w:r>
          </w:p>
        </w:tc>
        <w:tc>
          <w:tcPr>
            <w:tcW w:w="14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후순위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3-3. Competitor: 경쟁 구도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00"/>
        <w:gridCol w:w="3000"/>
        <w:gridCol w:w="4560"/>
      </w:tblGrid>
      <w:tr>
        <w:tc>
          <w:tcPr>
            <w:tcW w:w="18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기업</w:t>
            </w:r>
          </w:p>
        </w:tc>
        <w:tc>
          <w:tcPr>
            <w:tcW w:w="30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강점</w:t>
            </w:r>
          </w:p>
        </w:tc>
        <w:tc>
          <w:tcPr>
            <w:tcW w:w="45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BioSpero 관점의 회피/공략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Emulate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 ISTAND 레퍼런스, 글로벌 인지도</w:t>
            </w:r>
          </w:p>
        </w:tc>
        <w:tc>
          <w:tcPr>
            <w:tcW w:w="45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정면 경쟁 회피. 미국은 파트너십·특정 장기모델 중심.</w:t>
            </w:r>
          </w:p>
        </w:tc>
      </w:tr>
      <w:tr>
        <w:tc>
          <w:tcPr>
            <w:tcW w:w="18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MIMETAS</w:t>
            </w:r>
          </w:p>
        </w:tc>
        <w:tc>
          <w:tcPr>
            <w:tcW w:w="30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OrganoPlate 고처리량, 표준화</w:t>
            </w:r>
          </w:p>
        </w:tc>
        <w:tc>
          <w:tcPr>
            <w:tcW w:w="45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대용량·장기 실험·서비스형 데이터 패키지로 차별화.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CN Bio / TissUse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간모델, Multi-organ 연구 기반</w:t>
            </w:r>
          </w:p>
        </w:tc>
        <w:tc>
          <w:tcPr>
            <w:tcW w:w="45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다장기 연결성은 중장기 로드맵으로 따라잡되 아시아 채널로 차별화.</w:t>
            </w:r>
          </w:p>
        </w:tc>
      </w:tr>
      <w:tr>
        <w:tc>
          <w:tcPr>
            <w:tcW w:w="18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MEPSGEN 등 국내 기업</w:t>
            </w:r>
          </w:p>
        </w:tc>
        <w:tc>
          <w:tcPr>
            <w:tcW w:w="30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국내 네트워크와 유사 기술군</w:t>
            </w:r>
          </w:p>
        </w:tc>
        <w:tc>
          <w:tcPr>
            <w:tcW w:w="45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배양면적·배양액·순환식 펌프 우위를 명확히 증명.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tbl>
      <w:tblPr>
        <w:tblW w:w="9360" w:type="dxa"/>
        <w:tblInd w:w="0" w:type="dxa"/>
        <w:tblBorders>
          <w:top w:val="single" w:sz="4" w:color="D9DEE7"/>
          <w:left w:val="single" w:sz="20" w:color="1C69D4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EAF3FF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1C69D4"/>
                <w:b/>
              </w:rPr>
              <w:t xml:space="preserve">3C 결론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BioSpero의 경쟁전략은 글로벌 리더를 연구용 플랫폼 성능으로 정면 돌파하는 것이 아니라, “아시아·일본 채널 + 대용량 실험 + CRO 서비스형 데이터”라는 백지를 선점하는 것이다.</w:t>
            </w:r>
          </w:p>
        </w:tc>
      </w:tr>
    </w:tbl>
    <w:p>
      <w:pPr>
        <w:pageBreakBefore/>
      </w:pP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4. STP 전략 — 세그먼트, 타깃, 포지셔닝</w:t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4-1. Segmentation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2200"/>
        <w:gridCol w:w="2600"/>
        <w:gridCol w:w="2300"/>
        <w:gridCol w:w="2260"/>
      </w:tblGrid>
      <w:tr>
        <w:tc>
          <w:tcPr>
            <w:tcW w:w="22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세그먼트</w:t>
            </w:r>
          </w:p>
        </w:tc>
        <w:tc>
          <w:tcPr>
            <w:tcW w:w="26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구매 동기</w:t>
            </w:r>
          </w:p>
        </w:tc>
        <w:tc>
          <w:tcPr>
            <w:tcW w:w="23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구매 형태</w:t>
            </w:r>
          </w:p>
        </w:tc>
        <w:tc>
          <w:tcPr>
            <w:tcW w:w="22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적합 BM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글로벌/일본 Big Pharma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임상 실패 리스크 절감, 규제 제출 보강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PoC → 반복 실험 → 데이터 패키지</w:t>
            </w:r>
          </w:p>
        </w:tc>
        <w:tc>
          <w:tcPr>
            <w:tcW w:w="2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장비+칩+분석서비스</w:t>
            </w:r>
          </w:p>
        </w:tc>
      </w:tr>
      <w:tr>
        <w:tc>
          <w:tcPr>
            <w:tcW w:w="22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비임상 CRO</w:t>
            </w:r>
          </w:p>
        </w:tc>
        <w:tc>
          <w:tcPr>
            <w:tcW w:w="2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서비스 차별화, 고객 제약사 확보</w:t>
            </w:r>
          </w:p>
        </w:tc>
        <w:tc>
          <w:tcPr>
            <w:tcW w:w="2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플랫폼 도입 또는 공동서비스</w:t>
            </w:r>
          </w:p>
        </w:tc>
        <w:tc>
          <w:tcPr>
            <w:tcW w:w="2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장비+소모품+라이선스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학술/병원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질환모델 연구, 논문/과제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연구장비 구매, 공동연구</w:t>
            </w:r>
          </w:p>
        </w:tc>
        <w:tc>
          <w:tcPr>
            <w:tcW w:w="2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장비 판매+프로젝트</w:t>
            </w:r>
          </w:p>
        </w:tc>
      </w:tr>
      <w:tr>
        <w:tc>
          <w:tcPr>
            <w:tcW w:w="22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화장품/화학</w:t>
            </w:r>
          </w:p>
        </w:tc>
        <w:tc>
          <w:tcPr>
            <w:tcW w:w="2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동물실험 대체 안전성</w:t>
            </w:r>
          </w:p>
        </w:tc>
        <w:tc>
          <w:tcPr>
            <w:tcW w:w="2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표준화된 안전성 평가</w:t>
            </w:r>
          </w:p>
        </w:tc>
        <w:tc>
          <w:tcPr>
            <w:tcW w:w="2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후순위 서비스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4-2. Targeting 우선순위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1차 타깃: 일본 Big Pharma R&amp;D + 비임상 CRO. SPI 채널과 pre-marketing 피드백이 있어 가장 빠른 유상 전환 가능성이 있다.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2차 타깃: 미국 CRO/학술병원/FDA 파일럿. 규제 표준성을 확보하기 위한 중기 타깃이다.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3차 타깃: 유럽 연구기관·장비 파트너. 공동검증 및 분석장비 연동 생태계 구축에 적합하다.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옵션 타깃: 인도 CRO와 중동 정부·병원 파일럿. 시장성은 있으나 OoC 규제 채택 성숙도가 낮아 2차 옵션으로 관리한다.</w:t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4-3. Positioning Statement</w:t>
      </w:r>
    </w:p>
    <w:tbl>
      <w:tblPr>
        <w:tblW w:w="9360" w:type="dxa"/>
        <w:tblInd w:w="0" w:type="dxa"/>
        <w:tblBorders>
          <w:top w:val="single" w:sz="4" w:color="D9DEE7"/>
          <w:left w:val="single" w:sz="20" w:color="E22718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FCEEEE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E22718"/>
                <w:b/>
              </w:rPr>
              <w:t xml:space="preserve">Positioning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BioSpero는 신약개발사가 IND 전 독성·효능 리스크를 줄이기 위해 사용하는 “대용량·순환식·서비스 결합형 Organ-on-Chip 비임상 검증 플랫폼”이다.</w:t>
            </w:r>
          </w:p>
        </w:tc>
      </w:tr>
    </w:tbl>
    <w:p>
      <w:pPr>
        <w:pageBreakBefore/>
      </w:pP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5. 국가별 진입전략 — STP를 실행으로 번역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500"/>
        <w:gridCol w:w="1900"/>
        <w:gridCol w:w="3900"/>
        <w:gridCol w:w="2060"/>
      </w:tblGrid>
      <w:tr>
        <w:tc>
          <w:tcPr>
            <w:tcW w:w="15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국가/권역</w:t>
            </w:r>
          </w:p>
        </w:tc>
        <w:tc>
          <w:tcPr>
            <w:tcW w:w="1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전략 역할</w:t>
            </w:r>
          </w:p>
        </w:tc>
        <w:tc>
          <w:tcPr>
            <w:tcW w:w="3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진입 방식</w:t>
            </w:r>
          </w:p>
        </w:tc>
        <w:tc>
          <w:tcPr>
            <w:tcW w:w="20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핵심 KPI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일본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상업 레퍼런스 시장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SPI 독점 유통 → Top10 제약사 데모 → 유상 PoC → 장비/소모품 판매</w:t>
            </w:r>
          </w:p>
        </w:tc>
        <w:tc>
          <w:tcPr>
            <w:tcW w:w="20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SPI 계약, 유상 PoC 2건, 첫 반복 소모품 매출</w:t>
            </w:r>
          </w:p>
        </w:tc>
      </w:tr>
      <w:tr>
        <w:tc>
          <w:tcPr>
            <w:tcW w:w="1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미국</w:t>
            </w:r>
          </w:p>
        </w:tc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규제 표준성 시장</w:t>
            </w:r>
          </w:p>
        </w:tc>
        <w:tc>
          <w:tcPr>
            <w:tcW w:w="3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CHLA 등 연구 PoC → CRO 파트너 → FDA ISTAND/논문 기반 데이터 패키지</w:t>
            </w:r>
          </w:p>
        </w:tc>
        <w:tc>
          <w:tcPr>
            <w:tcW w:w="20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FDA-facing 데이터셋, CRO 파트너 1건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유럽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공동검증/장비 연동 시장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Institut Pasteur·BRUKER·Novalix 기반 질환모델 공동검증</w:t>
            </w:r>
          </w:p>
        </w:tc>
        <w:tc>
          <w:tcPr>
            <w:tcW w:w="20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공동논문/공동제품, EU 제약사 접점</w:t>
            </w:r>
          </w:p>
        </w:tc>
      </w:tr>
      <w:tr>
        <w:tc>
          <w:tcPr>
            <w:tcW w:w="1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한국</w:t>
            </w:r>
          </w:p>
        </w:tc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데이터 생산기지</w:t>
            </w:r>
          </w:p>
        </w:tc>
        <w:tc>
          <w:tcPr>
            <w:tcW w:w="3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BiolabXpert CRO 서비스로 국내 제약사 실험 데이터 축적</w:t>
            </w:r>
          </w:p>
        </w:tc>
        <w:tc>
          <w:tcPr>
            <w:tcW w:w="20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첫 IND 납품, SOP 표준화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인도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CRO 확장 옵션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Syngene/Aragen/Sai Life 등 CRO와 저비용 독성평가 서비스 파일럿</w:t>
            </w:r>
          </w:p>
        </w:tc>
        <w:tc>
          <w:tcPr>
            <w:tcW w:w="20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현지 CRO MoU, 간/독성 패키지 PoC</w:t>
            </w:r>
          </w:p>
        </w:tc>
      </w:tr>
      <w:tr>
        <w:tc>
          <w:tcPr>
            <w:tcW w:w="1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중동</w:t>
            </w:r>
          </w:p>
        </w:tc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정책주도 파일럿 옵션</w:t>
            </w:r>
          </w:p>
        </w:tc>
        <w:tc>
          <w:tcPr>
            <w:tcW w:w="3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Saudi/UAE 바이오 허브·병원·대학과 정부 과제형 데모</w:t>
            </w:r>
          </w:p>
        </w:tc>
        <w:tc>
          <w:tcPr>
            <w:tcW w:w="20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정부/병원 파일럿, 정밀의료·독성평가 데모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tbl>
      <w:tblPr>
        <w:tblW w:w="9360" w:type="dxa"/>
        <w:tblInd w:w="0" w:type="dxa"/>
        <w:tblBorders>
          <w:top w:val="single" w:sz="4" w:color="D9DEE7"/>
          <w:left w:val="single" w:sz="20" w:color="E22718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FCEEEE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E22718"/>
                <w:b/>
              </w:rPr>
              <w:t xml:space="preserve">국가전략 결론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진입 순서는 일본→미국→유럽이며, 인도·중동은 24개월 이후 옵션으로 관리한다. 지금 당장 모든 권역을 넓게 치는 전략은 리소스 분산 리스크가 크다.</w:t>
            </w:r>
          </w:p>
        </w:tc>
      </w:tr>
    </w:tbl>
    <w:p>
      <w:pPr>
        <w:pageBreakBefore/>
      </w:pP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6. Risk Matrix — 무엇을 먼저 관리해야 하나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2500"/>
        <w:gridCol w:w="1300"/>
        <w:gridCol w:w="1300"/>
        <w:gridCol w:w="4260"/>
      </w:tblGrid>
      <w:tr>
        <w:tc>
          <w:tcPr>
            <w:tcW w:w="25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리스크</w:t>
            </w:r>
          </w:p>
        </w:tc>
        <w:tc>
          <w:tcPr>
            <w:tcW w:w="13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발생 가능성</w:t>
            </w:r>
          </w:p>
        </w:tc>
        <w:tc>
          <w:tcPr>
            <w:tcW w:w="13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영향도</w:t>
            </w:r>
          </w:p>
        </w:tc>
        <w:tc>
          <w:tcPr>
            <w:tcW w:w="42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관리 전략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규제 인정 지연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</w:t>
            </w:r>
          </w:p>
        </w:tc>
        <w:tc>
          <w:tcPr>
            <w:tcW w:w="4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미국은 ISTAND 직접 진입보다 CRO/병원 데이터셋 축적을 선행한다.</w:t>
            </w:r>
          </w:p>
        </w:tc>
      </w:tr>
      <w:tr>
        <w:tc>
          <w:tcPr>
            <w:tcW w:w="2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일본 SPI 유상 전환 실패</w:t>
            </w:r>
          </w:p>
        </w:tc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</w:t>
            </w:r>
          </w:p>
        </w:tc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</w:t>
            </w:r>
          </w:p>
        </w:tc>
        <w:tc>
          <w:tcPr>
            <w:tcW w:w="4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pre-marketing 피드백을 가격·기능·SOP 기준으로 전환하고, 유상 PoC 조건을 명확히 한다.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실험 재현성/표준화 부족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</w:t>
            </w:r>
          </w:p>
        </w:tc>
        <w:tc>
          <w:tcPr>
            <w:tcW w:w="4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칩·펌프·분석 프로토콜 SOP와 QC 데이터를 보고서화한다.</w:t>
            </w:r>
          </w:p>
        </w:tc>
      </w:tr>
      <w:tr>
        <w:tc>
          <w:tcPr>
            <w:tcW w:w="2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글로벌 경쟁사 아시아 진입</w:t>
            </w:r>
          </w:p>
        </w:tc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</w:t>
            </w:r>
          </w:p>
        </w:tc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중상</w:t>
            </w:r>
          </w:p>
        </w:tc>
        <w:tc>
          <w:tcPr>
            <w:tcW w:w="4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대용량·순환식·CRO 서비스 결합 포지션을 빠르게 선점한다.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BM 혼선: 장비 vs CRO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</w:t>
            </w:r>
          </w:p>
        </w:tc>
        <w:tc>
          <w:tcPr>
            <w:tcW w:w="4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초기에는 서비스형으로 데이터 축적, 이후 장비+소모품 반복매출로 전환한다.</w:t>
            </w:r>
          </w:p>
        </w:tc>
      </w:tr>
      <w:tr>
        <w:tc>
          <w:tcPr>
            <w:tcW w:w="2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인력/운영 리소스 부족</w:t>
            </w:r>
          </w:p>
        </w:tc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</w:t>
            </w:r>
          </w:p>
        </w:tc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</w:t>
            </w:r>
          </w:p>
        </w:tc>
        <w:tc>
          <w:tcPr>
            <w:tcW w:w="4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일본·한국·미국 3개 축만 우선 관리하고 인도/중동은 파트너 탐색 수준으로 제한한다.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Risk 우선순위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즉시 관리: 일본 유상 PoC 전환, 실험 재현성 SOP, 첫 IND 데이터 패키지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중기 관리: 미국 규제 인정 경로, CRO 파트너십, 다장기 모델 검증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관찰 관리: 인도·중동 확장 옵션, 화장품/식품 안전성 시장, 글로벌 경쟁사 가격 전략</w:t>
      </w:r>
    </w:p>
    <w:p>
      <w:pPr>
        <w:pageBreakBefore/>
      </w:pP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7. Scenario 전략 — 상황이 달라지면 어떻게 움직일까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900"/>
        <w:gridCol w:w="3300"/>
        <w:gridCol w:w="4160"/>
      </w:tblGrid>
      <w:tr>
        <w:tc>
          <w:tcPr>
            <w:tcW w:w="1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시나리오</w:t>
            </w:r>
          </w:p>
        </w:tc>
        <w:tc>
          <w:tcPr>
            <w:tcW w:w="33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발생 조건</w:t>
            </w:r>
          </w:p>
        </w:tc>
        <w:tc>
          <w:tcPr>
            <w:tcW w:w="41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전략 액션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A. 일본 선전환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SPI 계약이 빠르게 체결되고 Top10 제약사 중 2곳 이상 유상 PoC 전환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일본을 1차 매출 시장으로 고정. 장비+소모품 번들 가격과 현지 CS 체계 구축.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B. 미국 규제 가속</w:t>
            </w:r>
          </w:p>
        </w:tc>
        <w:tc>
          <w:tcPr>
            <w:tcW w:w="3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 NAMs/ISTAND에서 MPS 데이터 인정 사례가 빠르게 증가</w:t>
            </w:r>
          </w:p>
        </w:tc>
        <w:tc>
          <w:tcPr>
            <w:tcW w:w="41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미국 CRO/학술병원 파트너를 통해 FDA-facing data package를 우선 생산.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C. 규제 지연·시장 보수화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FDA/PMDA 채택이 늦고 제약사 구매 의사결정이 지연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BiolabXpert 서비스형 BM으로 국내/일본 PoC 데이터를 축적하며 연구용·독성평가 매출로 버틴다.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D. 글로벌 리더 아시아 진입</w:t>
            </w:r>
          </w:p>
        </w:tc>
        <w:tc>
          <w:tcPr>
            <w:tcW w:w="3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Emulate/MIMETAS가 일본·한국에 직접 진입</w:t>
            </w:r>
          </w:p>
        </w:tc>
        <w:tc>
          <w:tcPr>
            <w:tcW w:w="41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가격 경쟁 대신 대용량·순환식·현지 CRO 서비스와 분석장비 연동으로 차별화.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E. 인도/중동 기회 급부상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인도 CRO 대형 파트너 또는 Saudi/UAE 정부 과제 연결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직접 지사 설립이 아니라 현지 파트너 파일럿과 공동서비스 계약으로 옵션 행사.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tbl>
      <w:tblPr>
        <w:tblW w:w="9360" w:type="dxa"/>
        <w:tblInd w:w="0" w:type="dxa"/>
        <w:tblBorders>
          <w:top w:val="single" w:sz="4" w:color="D9DEE7"/>
          <w:left w:val="single" w:sz="20" w:color="1C69D4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EAF3FF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1C69D4"/>
                <w:b/>
              </w:rPr>
              <w:t xml:space="preserve">Scenario 결론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BioSpero는 “한 가지 성공 경로”에 베팅하기보다 일본 매출화, 미국 규제 표준화, 한국 데이터 축적이라는 세 축을 병렬로 운영해야 한다.</w:t>
            </w:r>
          </w:p>
        </w:tc>
      </w:tr>
    </w:tbl>
    <w:p>
      <w:pPr>
        <w:pageBreakBefore/>
      </w:pP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8. 12–24개월 실행 로드맵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300"/>
        <w:gridCol w:w="2200"/>
        <w:gridCol w:w="3600"/>
        <w:gridCol w:w="2260"/>
      </w:tblGrid>
      <w:tr>
        <w:tc>
          <w:tcPr>
            <w:tcW w:w="13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기간</w:t>
            </w:r>
          </w:p>
        </w:tc>
        <w:tc>
          <w:tcPr>
            <w:tcW w:w="22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주요 목표</w:t>
            </w:r>
          </w:p>
        </w:tc>
        <w:tc>
          <w:tcPr>
            <w:tcW w:w="36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실행 과제</w:t>
            </w:r>
          </w:p>
        </w:tc>
        <w:tc>
          <w:tcPr>
            <w:tcW w:w="22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투자 판단 기준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0–3개월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일본 계약과 국내 데이터 정리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SPI 계약 조건 확정, 국내 PoC 데이터 정리, 실험 SOP 문서화</w:t>
            </w:r>
          </w:p>
        </w:tc>
        <w:tc>
          <w:tcPr>
            <w:tcW w:w="2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SPI 서명 여부, PoC 전환 가능성</w:t>
            </w:r>
          </w:p>
        </w:tc>
      </w:tr>
      <w:tr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3–6개월</w:t>
            </w:r>
          </w:p>
        </w:tc>
        <w:tc>
          <w:tcPr>
            <w:tcW w:w="22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첫 유상 PoC 확보</w:t>
            </w:r>
          </w:p>
        </w:tc>
        <w:tc>
          <w:tcPr>
            <w:tcW w:w="3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일본 제약사 데모, BiolabXpert 유료 서비스 패키지화</w:t>
            </w:r>
          </w:p>
        </w:tc>
        <w:tc>
          <w:tcPr>
            <w:tcW w:w="2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유상 PoC 1~2건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6–12개월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반복매출 구조 테스트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장비+칩+소모품 가격 모델, CRO 공동서비스 모델 검증</w:t>
            </w:r>
          </w:p>
        </w:tc>
        <w:tc>
          <w:tcPr>
            <w:tcW w:w="2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소모품 반복 매출, Gross margin</w:t>
            </w:r>
          </w:p>
        </w:tc>
      </w:tr>
      <w:tr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12–18개월</w:t>
            </w:r>
          </w:p>
        </w:tc>
        <w:tc>
          <w:tcPr>
            <w:tcW w:w="22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미국 규제 데이터셋 설계</w:t>
            </w:r>
          </w:p>
        </w:tc>
        <w:tc>
          <w:tcPr>
            <w:tcW w:w="3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CHLA/CRO 파트너 기반 FDA-facing dataset 구성</w:t>
            </w:r>
          </w:p>
        </w:tc>
        <w:tc>
          <w:tcPr>
            <w:tcW w:w="2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CRO 파트너 1건, 공동논문/데이터셋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18–24개월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글로벌 확장 옵션 행사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유럽 공동검증, 인도/중동 파트너 탐색</w:t>
            </w:r>
          </w:p>
        </w:tc>
        <w:tc>
          <w:tcPr>
            <w:tcW w:w="2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국가별 유상 전환율과 파트너 실행력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최종 투자 관찰 지표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상업성: 일본 SPI 계약 후 실제 유상 PoC와 반복 소모품 매출이 발생하는가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기술성: 48mm²·3mL·순환식 펌프 우위가 재현성 데이터로 증명되는가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규제성: 미국/일본/한국에서 제출 가능한 데이터 패키지 형태로 정리되는가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확장성: 장비 판매와 CRO 서비스가 충돌하지 않고 고객 획득 퍼널로 연결되는가</w:t>
      </w:r>
    </w:p>
    <w:tbl>
      <w:tblPr>
        <w:tblW w:w="9360" w:type="dxa"/>
        <w:tblInd w:w="0" w:type="dxa"/>
        <w:tblBorders>
          <w:top w:val="single" w:sz="4" w:color="D9DEE7"/>
          <w:left w:val="single" w:sz="20" w:color="E22718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FCEEEE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E22718"/>
                <w:b/>
              </w:rPr>
              <w:t xml:space="preserve">최종 결론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기술과 타이밍은 맞다. 단, 투자 판단의 핵심은 “좋은 칩”이 아니라 일본 유상 PoC, 첫 IND 데이터 패키지, 반복 소모품 매출이라는 세 가지 증명 포인트다.</w:t>
            </w:r>
          </w:p>
        </w:tc>
      </w:tr>
    </w:tbl>
    <w:p>
      <w:pPr>
        <w:pageBreakBefore/>
      </w:pP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Appendix. 주요 근거와 참고 출처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FDA Modernization Act 2.0 / Congress.gov: 동물실험 대체 nonclinical tests 허용 흐름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FDA NAMs 및 ISTAND 공개 자료: MPS/OoC의 규제 제출 경로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MFDS 비임상 대체시험 관련 개정 자료: 세포기반시험, 미세생리시스템, 컴퓨터모델링 일부 허용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Grand View Research / IMARC / Mordor Intelligence / MarketsandMarkets: 전임상 CRO 및 OoC 관련 시장 추정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BioSpero IR 자료: OrganXpert-T/O/M, 48mm², 3mL, 순환식 펌프, 일본 SPI 및 글로벌 파트너십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Saudi SFDA National Biotechnology Strategy, UAE Emirates Drug Establishment, India CDSCO/Grand View Research: 인도·중동 확장 옵션 평가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eastAsia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NanumSquare" w:hAnsi="NanumSquare" w:eastAsia="NanumSquare"/>
      <w:sz w:val="22"/>
      <w:color w:val="1C2330"/>
    </w:rPr>
  </w:style>
  <w:style w:type="paragraph" w:styleId="Title">
    <w:name w:val="Title"/>
    <w:pPr>
      <w:spacing w:before="0" w:after="240"/>
      <w:jc w:val="left"/>
    </w:pPr>
    <w:rPr>
      <w:rFonts w:ascii="NanumSquare" w:hAnsi="NanumSquare" w:eastAsia="NanumSquare"/>
      <w:b/>
      <w:sz w:val="44"/>
      <w:color w:val="0F2244"/>
    </w:rPr>
  </w:style>
  <w:style w:type="paragraph" w:styleId="Subtitle">
    <w:name w:val="Subtitle"/>
    <w:pPr>
      <w:spacing w:after="320"/>
    </w:pPr>
    <w:rPr>
      <w:rFonts w:ascii="NanumSquare" w:hAnsi="NanumSquare" w:eastAsia="NanumSquare"/>
      <w:sz w:val="24"/>
      <w:color w:val="667085"/>
    </w:rPr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rFonts w:ascii="NanumSquare" w:hAnsi="NanumSquare" w:eastAsia="NanumSquare"/>
      <w:b/>
      <w:sz w:val="32"/>
      <w:color w:val="0653B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NanumSquare" w:hAnsi="NanumSquare" w:eastAsia="NanumSquare"/>
      <w:b/>
      <w:sz w:val="26"/>
      <w:color w:val="1C69D4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rFonts w:ascii="NanumSquare" w:hAnsi="NanumSquare" w:eastAsia="NanumSquare"/>
      <w:b/>
      <w:sz w:val="24"/>
      <w:color w:val="0F2244"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