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760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400"/>
              <w:left w:type="dxa" w:w="500"/>
              <w:bottom w:type="dxa" w:w="400"/>
              <w:right w:type="dxa" w:w="5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FB8E0"/>
                <w:spacing w:val="60"/>
                <w:sz w:val="22"/>
                <w:szCs w:val="22"/>
              </w:rPr>
              <w:t xml:space="preserve">DATA ANALYTICS CASE STUDY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84"/>
                <w:szCs w:val="84"/>
              </w:rPr>
              <w:t xml:space="preserve">Olist Brazilian</w:t>
            </w:r>
          </w:p>
          <w:p>
            <w:pPr>
              <w:pBdr>
                <w:bottom w:val="single" w:color="E8833A" w:sz="18" w:space="12"/>
              </w:pBdr>
              <w:spacing w:after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84"/>
                <w:szCs w:val="84"/>
              </w:rPr>
              <w:t xml:space="preserve">E-Commerce Analysis</w:t>
            </w:r>
          </w:p>
          <w:p>
            <w:pPr>
              <w:spacing w:after="80" w:befor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From raw data to business decisions</w:t>
            </w:r>
          </w:p>
          <w:p>
            <w:r>
              <w:rPr>
                <w:rFonts w:ascii="Arial" w:cs="Arial" w:eastAsia="Arial" w:hAnsi="Arial"/>
                <w:color w:val="C9D9EA"/>
                <w:sz w:val="23"/>
                <w:szCs w:val="23"/>
              </w:rPr>
              <w:t xml:space="preserve">Analysis of 99,441 orders across 9 business questions using Power Query, SQL, Power BI and DAX</w:t>
            </w:r>
          </w:p>
        </w:tc>
      </w:tr>
    </w:tbl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E8833A" w:sz="2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Power Query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785"/>
                <w:sz w:val="19"/>
                <w:szCs w:val="19"/>
              </w:rPr>
              <w:t xml:space="preserve">Cleaning</w:t>
            </w:r>
          </w:p>
        </w:tc>
        <w:tc>
          <w:tcPr>
            <w:tcW w:type="dxa" w:w="2409"/>
            <w:tcBorders>
              <w:top w:val="single" w:color="E8833A" w:sz="2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SQL Server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785"/>
                <w:sz w:val="19"/>
                <w:szCs w:val="19"/>
              </w:rPr>
              <w:t xml:space="preserve">Validation queries</w:t>
            </w:r>
          </w:p>
        </w:tc>
        <w:tc>
          <w:tcPr>
            <w:tcW w:type="dxa" w:w="2409"/>
            <w:tcBorders>
              <w:top w:val="single" w:color="E8833A" w:sz="2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Power BI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785"/>
                <w:sz w:val="19"/>
                <w:szCs w:val="19"/>
              </w:rPr>
              <w:t xml:space="preserve">4-page dashboard</w:t>
            </w:r>
          </w:p>
        </w:tc>
        <w:tc>
          <w:tcPr>
            <w:tcW w:type="dxa" w:w="2409"/>
            <w:tcBorders>
              <w:top w:val="single" w:color="E8833A" w:sz="2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DAX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785"/>
                <w:sz w:val="19"/>
                <w:szCs w:val="19"/>
              </w:rPr>
              <w:t xml:space="preserve">Business measures</w:t>
            </w:r>
          </w:p>
        </w:tc>
      </w:tr>
    </w:tbl>
    <w:p>
      <w:pPr>
        <w:spacing w:after="100" w:before="300" w:line="290"/>
        <w:jc w:val="center"/>
      </w:pPr>
      <w:r>
        <w:rPr>
          <w:rFonts w:ascii="Arial" w:cs="Arial" w:eastAsia="Arial" w:hAnsi="Arial"/>
          <w:color w:val="6B7785"/>
          <w:sz w:val="19"/>
          <w:szCs w:val="19"/>
        </w:rPr>
        <w:t xml:space="preserve">Dataset: Olist Brazilian E-Commerce (Kaggle)  |  Period: Sep 2016 – Oct 2018</w:t>
      </w:r>
    </w:p>
    <w:p>
      <w:pPr>
        <w:pStyle w:val="Heading1"/>
        <w:pageBreakBefore/>
        <w:pBdr>
          <w:bottom w:val="single" w:color="E8833A" w:sz="12" w:space="6"/>
        </w:pBdr>
        <w:spacing w:after="200" w:before="0"/>
      </w:pPr>
      <w:r>
        <w:rPr>
          <w:rFonts w:ascii="Arial" w:cs="Arial" w:eastAsia="Arial" w:hAnsi="Arial"/>
          <w:b/>
          <w:bCs/>
          <w:color w:val="E8833A"/>
          <w:sz w:val="36"/>
          <w:szCs w:val="36"/>
        </w:rPr>
        <w:t xml:space="preserve">01  </w:t>
      </w: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Executive Summary</w:t>
      </w:r>
    </w:p>
    <w:p>
      <w:pPr>
        <w:spacing w:after="100" w:before="40" w:line="290"/>
        <w:jc w:val="left"/>
      </w:pPr>
      <w:r>
        <w:rPr>
          <w:rFonts w:ascii="Arial" w:cs="Arial" w:eastAsia="Arial" w:hAnsi="Arial"/>
          <w:sz w:val="22"/>
          <w:szCs w:val="22"/>
        </w:rPr>
        <w:t xml:space="preserve">Olist is a Brazilian company that connects small merchants to large online marketplaces. This analysis answers one big question: how is the business growing, who is driving that growth, and where are the risks?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tcBorders>
              <w:top w:val="single" w:color="FFFFFF" w:sz="48"/>
              <w:left w:val="single" w:color="FFFFFF" w:sz="48"/>
              <w:bottom w:val="single" w:color="FFFFFF" w:sz="48"/>
              <w:right w:val="single" w:color="FFFFFF" w:sz="48"/>
            </w:tcBorders>
            <w:shd w:fill="EAF1F8" w:color="auto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40"/>
                <w:szCs w:val="40"/>
              </w:rPr>
              <w:t xml:space="preserve">13.49M</w:t>
            </w:r>
          </w:p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pacing w:val="10"/>
                <w:sz w:val="17"/>
                <w:szCs w:val="17"/>
              </w:rPr>
              <w:t xml:space="preserve">TOTAL REVENUE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785"/>
                <w:sz w:val="17"/>
                <w:szCs w:val="17"/>
              </w:rPr>
              <w:t xml:space="preserve">excl. canceled &amp; unavailable</w:t>
            </w:r>
          </w:p>
        </w:tc>
        <w:tc>
          <w:tcPr>
            <w:tcW w:type="dxa" w:w="2409"/>
            <w:tcBorders>
              <w:top w:val="single" w:color="FFFFFF" w:sz="48"/>
              <w:left w:val="single" w:color="FFFFFF" w:sz="48"/>
              <w:bottom w:val="single" w:color="FFFFFF" w:sz="48"/>
              <w:right w:val="single" w:color="FFFFFF" w:sz="48"/>
            </w:tcBorders>
            <w:shd w:fill="EAF1F8" w:color="auto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40"/>
                <w:szCs w:val="40"/>
              </w:rPr>
              <w:t xml:space="preserve">98,207</w:t>
            </w:r>
          </w:p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pacing w:val="10"/>
                <w:sz w:val="17"/>
                <w:szCs w:val="17"/>
              </w:rPr>
              <w:t xml:space="preserve">TOTAL ORDERS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785"/>
                <w:sz w:val="17"/>
                <w:szCs w:val="17"/>
              </w:rPr>
              <w:t xml:space="preserve">out of 99,441</w:t>
            </w:r>
          </w:p>
        </w:tc>
        <w:tc>
          <w:tcPr>
            <w:tcW w:type="dxa" w:w="2409"/>
            <w:tcBorders>
              <w:top w:val="single" w:color="FFFFFF" w:sz="48"/>
              <w:left w:val="single" w:color="FFFFFF" w:sz="48"/>
              <w:bottom w:val="single" w:color="FFFFFF" w:sz="48"/>
              <w:right w:val="single" w:color="FFFFFF" w:sz="48"/>
            </w:tcBorders>
            <w:shd w:fill="EAF1F8" w:color="auto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40"/>
                <w:szCs w:val="40"/>
              </w:rPr>
              <w:t xml:space="preserve">137.41</w:t>
            </w:r>
          </w:p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pacing w:val="10"/>
                <w:sz w:val="17"/>
                <w:szCs w:val="17"/>
              </w:rPr>
              <w:t xml:space="preserve">AVG ORDER VALUE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785"/>
                <w:sz w:val="17"/>
                <w:szCs w:val="17"/>
              </w:rPr>
              <w:t xml:space="preserve">per order</w:t>
            </w:r>
          </w:p>
        </w:tc>
        <w:tc>
          <w:tcPr>
            <w:tcW w:type="dxa" w:w="2409"/>
            <w:tcBorders>
              <w:top w:val="single" w:color="FFFFFF" w:sz="48"/>
              <w:left w:val="single" w:color="FFFFFF" w:sz="48"/>
              <w:bottom w:val="single" w:color="FFFFFF" w:sz="48"/>
              <w:right w:val="single" w:color="FFFFFF" w:sz="48"/>
            </w:tcBorders>
            <w:shd w:fill="EAF1F8" w:color="auto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40"/>
                <w:szCs w:val="40"/>
              </w:rPr>
              <w:t xml:space="preserve">+138%</w:t>
            </w:r>
          </w:p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pacing w:val="10"/>
                <w:sz w:val="17"/>
                <w:szCs w:val="17"/>
              </w:rPr>
              <w:t xml:space="preserve">REVENUE YoY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785"/>
                <w:sz w:val="17"/>
                <w:szCs w:val="17"/>
              </w:rPr>
              <w:t xml:space="preserve">Jan–Aug 2018 vs 2017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FFFFFF" w:sz="48"/>
              <w:left w:val="single" w:color="FFFFFF" w:sz="48"/>
              <w:bottom w:val="single" w:color="FFFFFF" w:sz="48"/>
              <w:right w:val="single" w:color="FFFFFF" w:sz="48"/>
            </w:tcBorders>
            <w:shd w:fill="EAF1F8" w:color="auto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40"/>
                <w:szCs w:val="40"/>
              </w:rPr>
              <w:t xml:space="preserve">94,990</w:t>
            </w:r>
          </w:p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pacing w:val="10"/>
                <w:sz w:val="17"/>
                <w:szCs w:val="17"/>
              </w:rPr>
              <w:t xml:space="preserve">UNIQUE CUSTOMERS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785"/>
                <w:sz w:val="17"/>
                <w:szCs w:val="17"/>
              </w:rPr>
              <w:t xml:space="preserve">distinct customers</w:t>
            </w:r>
          </w:p>
        </w:tc>
        <w:tc>
          <w:tcPr>
            <w:tcW w:type="dxa" w:w="2409"/>
            <w:tcBorders>
              <w:top w:val="single" w:color="FFFFFF" w:sz="48"/>
              <w:left w:val="single" w:color="FFFFFF" w:sz="48"/>
              <w:bottom w:val="single" w:color="FFFFFF" w:sz="48"/>
              <w:right w:val="single" w:color="FFFFFF" w:sz="48"/>
            </w:tcBorders>
            <w:shd w:fill="EAF1F8" w:color="auto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40"/>
                <w:szCs w:val="40"/>
              </w:rPr>
              <w:t xml:space="preserve">3,053</w:t>
            </w:r>
          </w:p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pacing w:val="10"/>
                <w:sz w:val="17"/>
                <w:szCs w:val="17"/>
              </w:rPr>
              <w:t xml:space="preserve">ACTIVE SELLERS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785"/>
                <w:sz w:val="17"/>
                <w:szCs w:val="17"/>
              </w:rPr>
              <w:t xml:space="preserve">with valid sales</w:t>
            </w:r>
          </w:p>
        </w:tc>
        <w:tc>
          <w:tcPr>
            <w:tcW w:type="dxa" w:w="2409"/>
            <w:tcBorders>
              <w:top w:val="single" w:color="FFFFFF" w:sz="48"/>
              <w:left w:val="single" w:color="FFFFFF" w:sz="48"/>
              <w:bottom w:val="single" w:color="FFFFFF" w:sz="48"/>
              <w:right w:val="single" w:color="FFFFFF" w:sz="48"/>
            </w:tcBorders>
            <w:shd w:fill="EAF1F8" w:color="auto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40"/>
                <w:szCs w:val="40"/>
              </w:rPr>
              <w:t xml:space="preserve">4.09</w:t>
            </w:r>
          </w:p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pacing w:val="10"/>
                <w:sz w:val="17"/>
                <w:szCs w:val="17"/>
              </w:rPr>
              <w:t xml:space="preserve">AVG REVIEW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785"/>
                <w:sz w:val="17"/>
                <w:szCs w:val="17"/>
              </w:rPr>
              <w:t xml:space="preserve">out of 5</w:t>
            </w:r>
          </w:p>
        </w:tc>
        <w:tc>
          <w:tcPr>
            <w:tcW w:type="dxa" w:w="2409"/>
            <w:tcBorders>
              <w:top w:val="single" w:color="FFFFFF" w:sz="48"/>
              <w:left w:val="single" w:color="FFFFFF" w:sz="48"/>
              <w:bottom w:val="single" w:color="FFFFFF" w:sz="48"/>
              <w:right w:val="single" w:color="FFFFFF" w:sz="48"/>
            </w:tcBorders>
            <w:shd w:fill="EAF1F8" w:color="auto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40"/>
                <w:szCs w:val="40"/>
              </w:rPr>
              <w:t xml:space="preserve">12.6</w:t>
            </w:r>
          </w:p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pacing w:val="10"/>
                <w:sz w:val="17"/>
                <w:szCs w:val="17"/>
              </w:rPr>
              <w:t xml:space="preserve">AVG DELIVERY DAYS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785"/>
                <w:sz w:val="17"/>
                <w:szCs w:val="17"/>
              </w:rPr>
              <w:t xml:space="preserve">8.1% late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Top 5 Findings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5938"/>
      </w:tblGrid>
      <w:tr>
        <w:trPr>
          <w:cantSplit/>
        </w:trPr>
        <w:tc>
          <w:tcPr>
            <w:tcW w:type="dxa" w:w="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2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Strong growth, incomplete 2018</w:t>
            </w:r>
          </w:p>
        </w:tc>
        <w:tc>
          <w:tcPr>
            <w:tcW w:type="dxa" w:w="59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Revenue is up 138% on the same months of 2017, but the data ends in August 2018.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2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Customers buy only once</w:t>
            </w:r>
          </w:p>
        </w:tc>
        <w:tc>
          <w:tcPr>
            <w:tcW w:type="dxa" w:w="59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97% of customers never came back to buy again, the biggest weakness in the model.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2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Late delivery destroys ratings</w:t>
            </w:r>
          </w:p>
        </w:tc>
        <w:tc>
          <w:tcPr>
            <w:tcW w:type="dxa" w:w="59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 orders average 2.57 stars versus 4.29 for on-time orders.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2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High geographic concentration</w:t>
            </w:r>
          </w:p>
        </w:tc>
        <w:tc>
          <w:tcPr>
            <w:tcW w:type="dxa" w:w="59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São Paulo (SP) alone is 41.9% of orders, and the top 3 states are 66.5%.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2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Credit card is the backbone</w:t>
            </w:r>
          </w:p>
        </w:tc>
        <w:tc>
          <w:tcPr>
            <w:tcW w:type="dxa" w:w="59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78.3% of payment value, with an average of 3.5 installments.</w:t>
            </w:r>
          </w:p>
        </w:tc>
      </w:tr>
    </w:tbl>
    <w:p>
      <w:pPr>
        <w:pStyle w:val="Heading1"/>
        <w:pageBreakBefore/>
        <w:pBdr>
          <w:bottom w:val="single" w:color="E8833A" w:sz="12" w:space="6"/>
        </w:pBdr>
        <w:spacing w:after="200" w:before="0"/>
      </w:pPr>
      <w:r>
        <w:rPr>
          <w:rFonts w:ascii="Arial" w:cs="Arial" w:eastAsia="Arial" w:hAnsi="Arial"/>
          <w:b/>
          <w:bCs/>
          <w:color w:val="E8833A"/>
          <w:sz w:val="36"/>
          <w:szCs w:val="36"/>
        </w:rPr>
        <w:t xml:space="preserve">02  </w:t>
      </w: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Methodology &amp; Data Quality</w:t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Workflow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cantSplit/>
        </w:trPr>
        <w:tc>
          <w:tcPr>
            <w:tcW w:type="dxa" w:w="1927"/>
            <w:tcBorders>
              <w:top w:val="single" w:color="FFFFFF" w:sz="48"/>
              <w:left w:val="single" w:color="FFFFFF" w:sz="48"/>
              <w:bottom w:val="single" w:color="FFFFFF" w:sz="48"/>
              <w:right w:val="single" w:color="FFFFFF" w:sz="48"/>
            </w:tcBorders>
            <w:shd w:fill="1F3A5F" w:color="auto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Power Query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Clean &amp; transform</w:t>
            </w:r>
          </w:p>
        </w:tc>
        <w:tc>
          <w:tcPr>
            <w:tcW w:type="dxa" w:w="1927"/>
            <w:tcBorders>
              <w:top w:val="single" w:color="FFFFFF" w:sz="48"/>
              <w:left w:val="single" w:color="FFFFFF" w:sz="48"/>
              <w:bottom w:val="single" w:color="FFFFFF" w:sz="48"/>
              <w:right w:val="single" w:color="FFFFFF" w:sz="48"/>
            </w:tcBorders>
            <w:shd w:fill="27507F" w:color="auto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 Server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Validation queries</w:t>
            </w:r>
          </w:p>
        </w:tc>
        <w:tc>
          <w:tcPr>
            <w:tcW w:type="dxa" w:w="1927"/>
            <w:tcBorders>
              <w:top w:val="single" w:color="FFFFFF" w:sz="48"/>
              <w:left w:val="single" w:color="FFFFFF" w:sz="48"/>
              <w:bottom w:val="single" w:color="FFFFFF" w:sz="48"/>
              <w:right w:val="single" w:color="FFFFFF" w:sz="48"/>
            </w:tcBorders>
            <w:shd w:fill="2E75B6" w:color="auto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Model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Star schema</w:t>
            </w:r>
          </w:p>
        </w:tc>
        <w:tc>
          <w:tcPr>
            <w:tcW w:type="dxa" w:w="1927"/>
            <w:tcBorders>
              <w:top w:val="single" w:color="FFFFFF" w:sz="48"/>
              <w:left w:val="single" w:color="FFFFFF" w:sz="48"/>
              <w:bottom w:val="single" w:color="FFFFFF" w:sz="48"/>
              <w:right w:val="single" w:color="FFFFFF" w:sz="48"/>
            </w:tcBorders>
            <w:shd w:fill="2CA6A4" w:color="auto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Business measures</w:t>
            </w:r>
          </w:p>
        </w:tc>
        <w:tc>
          <w:tcPr>
            <w:tcW w:type="dxa" w:w="1927"/>
            <w:tcBorders>
              <w:top w:val="single" w:color="FFFFFF" w:sz="48"/>
              <w:left w:val="single" w:color="FFFFFF" w:sz="48"/>
              <w:bottom w:val="single" w:color="FFFFFF" w:sz="48"/>
              <w:right w:val="single" w:color="FFFFFF" w:sz="48"/>
            </w:tcBorders>
            <w:shd w:fill="E8833A" w:color="auto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Dashboard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4 pages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Cleaning decisions (Power Query)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3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Fixed the misspelled product dimension column names</w:t>
            </w:r>
          </w:p>
        </w:tc>
        <w:tc>
          <w:tcPr>
            <w:tcW w:type="dxa" w:w="53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names that are easier to use in DAX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Removed duplicates from geolocation</w:t>
            </w:r>
          </w:p>
        </w:tc>
        <w:tc>
          <w:tcPr>
            <w:tcW w:type="dxa" w:w="53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same zip prefix was repeated thousands of times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Removed 610 products with no category</w:t>
            </w:r>
          </w:p>
        </w:tc>
        <w:tc>
          <w:tcPr>
            <w:tcW w:type="dxa" w:w="53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They cannot be analysed by category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Dropped the two free-text columns in reviews</w:t>
            </w:r>
          </w:p>
        </w:tc>
        <w:tc>
          <w:tcPr>
            <w:tcW w:type="dxa" w:w="53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Mostly empty and not used in the analysis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Kept only the latest review per order</w:t>
            </w:r>
          </w:p>
        </w:tc>
        <w:tc>
          <w:tcPr>
            <w:tcW w:type="dxa" w:w="53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Prevents double counting when an order has several reviews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Left null delivery dates as they are</w:t>
            </w:r>
          </w:p>
        </w:tc>
        <w:tc>
          <w:tcPr>
            <w:tcW w:type="dxa" w:w="53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Those orders are not delivered yet; removing them would distort late-delivery rates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Left the 9 zero-value payments untouched</w:t>
            </w:r>
          </w:p>
        </w:tc>
        <w:tc>
          <w:tcPr>
            <w:tcW w:type="dxa" w:w="53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Genuine records with zero effect on totals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Data model</w:t>
      </w:r>
    </w:p>
    <w:p>
      <w:pPr>
        <w:spacing w:after="100" w:before="40" w:line="290"/>
        <w:jc w:val="left"/>
      </w:pPr>
      <w:r>
        <w:rPr>
          <w:rFonts w:ascii="Arial" w:cs="Arial" w:eastAsia="Arial" w:hAnsi="Arial"/>
          <w:sz w:val="22"/>
          <w:szCs w:val="22"/>
        </w:rPr>
        <w:t xml:space="preserve">A star schema with relationships instead of one merged table: fact tables (orders, order_items, payments, reviews) connect to dimensions (customers, products + category, seller, geolocation), plus a DateTable built in DAX and marked as the date table. All measures live in a dedicated _Measures table.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833A" w:sz="30"/>
              <w:bottom w:val="none" w:color="FFFFFF" w:sz="0"/>
              <w:right w:val="none" w:color="FFFFFF" w:sz="0"/>
            </w:tcBorders>
            <w:shd w:fill="FDF1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E8833A"/>
                <w:sz w:val="21"/>
                <w:szCs w:val="21"/>
              </w:rPr>
              <w:t xml:space="preserve">TECHNICAL NOTE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The customers-to-orders relationship must stay single-direction. When it was set to Both, Seller Avg Review and other measures returned blanks.</w:t>
            </w:r>
          </w:p>
        </w:tc>
      </w:tr>
    </w:tbl>
    <w:p>
      <w:pPr>
        <w:spacing w:after="80"/>
      </w:pPr>
    </w:p>
    <w:p>
      <w:pPr>
        <w:spacing w:after="100" w:before="40" w:line="290"/>
        <w:jc w:val="left"/>
      </w:pPr>
      <w:r>
        <w:rPr>
          <w:rFonts w:ascii="Arial" w:cs="Arial" w:eastAsia="Arial" w:hAnsi="Arial"/>
          <w:sz w:val="20"/>
          <w:szCs w:val="20"/>
        </w:rPr>
        <w:t xml:space="preserve">Revenue definition: Total Revenue = SUM(order_items[price]), excluding orders with status canceled or unavailable. It covers product price only, not freight.</w:t>
      </w:r>
    </w:p>
    <w:p>
      <w:pPr>
        <w:pStyle w:val="Heading1"/>
        <w:pageBreakBefore/>
        <w:pBdr>
          <w:bottom w:val="single" w:color="E8833A" w:sz="12" w:space="6"/>
        </w:pBdr>
        <w:spacing w:after="200" w:before="0"/>
      </w:pPr>
      <w:r>
        <w:rPr>
          <w:rFonts w:ascii="Arial" w:cs="Arial" w:eastAsia="Arial" w:hAnsi="Arial"/>
          <w:b/>
          <w:bCs/>
          <w:color w:val="E8833A"/>
          <w:sz w:val="36"/>
          <w:szCs w:val="36"/>
        </w:rPr>
        <w:t xml:space="preserve">03  </w:t>
      </w: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Detailed Findings</w:t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Performance &amp; trend  (Q1 &amp; Q8)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2428875"/>
            <wp:effectExtent t="0" r="0" b="0" l="0"/>
            <wp:docPr id="1" name="monthly" descr="monthly" title="month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center"/>
      </w:pPr>
      <w:r>
        <w:drawing>
          <wp:inline distT="0" distB="0" distL="0" distR="0">
            <wp:extent cx="3143250" cy="2057400"/>
            <wp:effectExtent t="0" r="0" b="0" l="0"/>
            <wp:docPr id="1" name="yoy" descr="yoy" title="yo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50" w:before="40" w:line="290"/>
        <w:jc w:val="left"/>
      </w:pPr>
      <w:r>
        <w:rPr>
          <w:rFonts w:ascii="Arial" w:cs="Arial" w:eastAsia="Arial" w:hAnsi="Arial"/>
          <w:sz w:val="22"/>
          <w:szCs w:val="22"/>
        </w:rPr>
        <w:t xml:space="preserve">2017 generated 6.11M from 44,379 orders; Jan–Aug 2018 alone generated 7.34M from 53,532 orders.</w:t>
      </w:r>
    </w:p>
    <w:p>
      <w:pPr>
        <w:pStyle w:val="ListParagraph"/>
        <w:numPr>
          <w:ilvl w:val="0"/>
          <w:numId w:val="2"/>
        </w:numPr>
        <w:spacing w:after="50" w:before="40" w:line="290"/>
        <w:jc w:val="left"/>
      </w:pPr>
      <w:r>
        <w:rPr>
          <w:rFonts w:ascii="Arial" w:cs="Arial" w:eastAsia="Arial" w:hAnsi="Arial"/>
          <w:sz w:val="22"/>
          <w:szCs w:val="22"/>
        </w:rPr>
        <w:t xml:space="preserve">The peak month is November 2017 (1.00M), most likely driven by Black Friday; March–May 2018 are close behind.</w:t>
      </w:r>
    </w:p>
    <w:p>
      <w:pPr>
        <w:pStyle w:val="ListParagraph"/>
        <w:numPr>
          <w:ilvl w:val="0"/>
          <w:numId w:val="2"/>
        </w:numPr>
        <w:spacing w:after="50" w:before="40" w:line="290"/>
        <w:jc w:val="left"/>
      </w:pPr>
      <w:r>
        <w:rPr>
          <w:rFonts w:ascii="Arial" w:cs="Arial" w:eastAsia="Arial" w:hAnsi="Arial"/>
          <w:sz w:val="22"/>
          <w:szCs w:val="22"/>
        </w:rPr>
        <w:t xml:space="preserve">September 2018 contains a single order, so any "late-2018 decline" is an artefact of the data.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30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INSIGHT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Growth is real and strong, but the full-year comparison (+20%) is misleading because 2018 is incomplete. The fair like-for-like comparison is +138%.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Products  (Q2)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2571750"/>
            <wp:effectExtent t="0" r="0" b="0" l="0"/>
            <wp:docPr id="1" name="categories" descr="categories" title="catego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50" w:before="40" w:line="290"/>
        <w:jc w:val="left"/>
      </w:pPr>
      <w:r>
        <w:rPr>
          <w:rFonts w:ascii="Arial" w:cs="Arial" w:eastAsia="Arial" w:hAnsi="Arial"/>
          <w:sz w:val="22"/>
          <w:szCs w:val="22"/>
        </w:rPr>
        <w:t xml:space="preserve">The top 5 of 71 categories account for 40% of revenue.</w:t>
      </w:r>
    </w:p>
    <w:p>
      <w:pPr>
        <w:pStyle w:val="ListParagraph"/>
        <w:numPr>
          <w:ilvl w:val="0"/>
          <w:numId w:val="2"/>
        </w:numPr>
        <w:spacing w:after="50" w:before="40" w:line="290"/>
        <w:jc w:val="left"/>
      </w:pPr>
      <w:r>
        <w:rPr>
          <w:rFonts w:ascii="Arial" w:cs="Arial" w:eastAsia="Arial" w:hAnsi="Arial"/>
          <w:sz w:val="22"/>
          <w:szCs w:val="22"/>
        </w:rPr>
        <w:t xml:space="preserve">watches_gifts has the highest unit price (about 200) with 5,970 units, while bed_bath_table has the highest volume (11,097 units) at a lower price: two different models, value versus volume.</w:t>
      </w:r>
    </w:p>
    <w:p>
      <w:pPr>
        <w:pStyle w:val="ListParagraph"/>
        <w:numPr>
          <w:ilvl w:val="0"/>
          <w:numId w:val="2"/>
        </w:numPr>
        <w:spacing w:after="50" w:before="40" w:line="290"/>
        <w:jc w:val="left"/>
      </w:pPr>
      <w:r>
        <w:rPr>
          <w:rFonts w:ascii="Arial" w:cs="Arial" w:eastAsia="Arial" w:hAnsi="Arial"/>
          <w:sz w:val="22"/>
          <w:szCs w:val="22"/>
        </w:rPr>
        <w:t xml:space="preserve">The best single product earned only 63,885, so no single product dominates.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30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INSIGHT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Revenue is spread across many categories, which lowers risk. The improvement opportunity is in high-volume, low-price categories.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Customers &amp; sellers  (Q3 &amp; Q6)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single" w:color="FFFFFF" w:sz="48"/>
              <w:left w:val="single" w:color="FFFFFF" w:sz="48"/>
              <w:bottom w:val="single" w:color="FFFFFF" w:sz="48"/>
              <w:right w:val="single" w:color="FFFFFF" w:sz="48"/>
            </w:tcBorders>
            <w:shd w:fill="EAF1F8" w:color="auto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40"/>
                <w:szCs w:val="40"/>
              </w:rPr>
              <w:t xml:space="preserve">3.0%</w:t>
            </w:r>
          </w:p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pacing w:val="10"/>
                <w:sz w:val="17"/>
                <w:szCs w:val="17"/>
              </w:rPr>
              <w:t xml:space="preserve">REPEAT CUSTOMERS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785"/>
                <w:sz w:val="17"/>
                <w:szCs w:val="17"/>
              </w:rPr>
              <w:t xml:space="preserve">2,888 customers</w:t>
            </w:r>
          </w:p>
        </w:tc>
        <w:tc>
          <w:tcPr>
            <w:tcW w:type="dxa" w:w="3212"/>
            <w:tcBorders>
              <w:top w:val="single" w:color="FFFFFF" w:sz="48"/>
              <w:left w:val="single" w:color="FFFFFF" w:sz="48"/>
              <w:bottom w:val="single" w:color="FFFFFF" w:sz="48"/>
              <w:right w:val="single" w:color="FFFFFF" w:sz="48"/>
            </w:tcBorders>
            <w:shd w:fill="EAF1F8" w:color="auto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40"/>
                <w:szCs w:val="40"/>
              </w:rPr>
              <w:t xml:space="preserve">1.03</w:t>
            </w:r>
          </w:p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pacing w:val="10"/>
                <w:sz w:val="17"/>
                <w:szCs w:val="17"/>
              </w:rPr>
              <w:t xml:space="preserve">ORDERS / CUSTOMER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785"/>
                <w:sz w:val="17"/>
                <w:szCs w:val="17"/>
              </w:rPr>
              <w:t xml:space="preserve">average</w:t>
            </w:r>
          </w:p>
        </w:tc>
        <w:tc>
          <w:tcPr>
            <w:tcW w:type="dxa" w:w="3212"/>
            <w:tcBorders>
              <w:top w:val="single" w:color="FFFFFF" w:sz="48"/>
              <w:left w:val="single" w:color="FFFFFF" w:sz="48"/>
              <w:bottom w:val="single" w:color="FFFFFF" w:sz="48"/>
              <w:right w:val="single" w:color="FFFFFF" w:sz="48"/>
            </w:tcBorders>
            <w:shd w:fill="EAF1F8" w:color="auto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40"/>
                <w:szCs w:val="40"/>
              </w:rPr>
              <w:t xml:space="preserve">0.5%</w:t>
            </w:r>
          </w:p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pacing w:val="10"/>
                <w:sz w:val="17"/>
                <w:szCs w:val="17"/>
              </w:rPr>
              <w:t xml:space="preserve">TOP 10 CUSTOMERS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785"/>
                <w:sz w:val="17"/>
                <w:szCs w:val="17"/>
              </w:rPr>
              <w:t xml:space="preserve">of revenue</w:t>
            </w:r>
          </w:p>
        </w:tc>
      </w:tr>
    </w:tbl>
    <w:p>
      <w:pPr>
        <w:spacing w:after="40"/>
      </w:pPr>
    </w:p>
    <w:p>
      <w:pPr>
        <w:spacing w:after="80" w:before="80"/>
        <w:jc w:val="center"/>
      </w:pPr>
      <w:r>
        <w:drawing>
          <wp:inline distT="0" distB="0" distL="0" distR="0">
            <wp:extent cx="3429000" cy="2238375"/>
            <wp:effectExtent t="0" r="0" b="0" l="0"/>
            <wp:docPr id="1" name="sellers" descr="sellers" title="sell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50" w:before="40" w:line="290"/>
        <w:jc w:val="left"/>
      </w:pPr>
      <w:r>
        <w:rPr>
          <w:rFonts w:ascii="Arial" w:cs="Arial" w:eastAsia="Arial" w:hAnsi="Arial"/>
          <w:sz w:val="22"/>
          <w:szCs w:val="22"/>
        </w:rPr>
        <w:t xml:space="preserve">The top 10 sellers earn 13.2% of revenue, the top 1% (30 sellers) 25.8%, and the top 20% 82.5%.</w:t>
      </w:r>
    </w:p>
    <w:p>
      <w:pPr>
        <w:pStyle w:val="ListParagraph"/>
        <w:numPr>
          <w:ilvl w:val="0"/>
          <w:numId w:val="2"/>
        </w:numPr>
        <w:spacing w:after="50" w:before="40" w:line="290"/>
        <w:jc w:val="left"/>
      </w:pPr>
      <w:r>
        <w:rPr>
          <w:rFonts w:ascii="Arial" w:cs="Arial" w:eastAsia="Arial" w:hAnsi="Arial"/>
          <w:sz w:val="22"/>
          <w:szCs w:val="22"/>
        </w:rPr>
        <w:t xml:space="preserve">The top seller earned 229,238 from 1,155 units. The second earned 222,776 from only 410 units (high unit price), so Revenue must always be read together with Items Sold.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30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INSIGHT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There is no dependence on any single big customer, but retention is very weak. On the seller side there is clear concentration (a Pareto pattern).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833A" w:sz="30"/>
              <w:bottom w:val="none" w:color="FFFFFF" w:sz="0"/>
              <w:right w:val="none" w:color="FFFFFF" w:sz="0"/>
            </w:tcBorders>
            <w:shd w:fill="FDF1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E8833A"/>
                <w:sz w:val="21"/>
                <w:szCs w:val="21"/>
              </w:rPr>
              <w:t xml:space="preserve">RECOMMENDATION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Lifting repeat purchases to even 5% is the cheapest path to growth, since it needs no new customer acquisition cost.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Payment methods  (Q7)</w:t>
      </w:r>
    </w:p>
    <w:p>
      <w:pPr>
        <w:spacing w:after="80" w:before="80"/>
        <w:jc w:val="center"/>
      </w:pPr>
      <w:r>
        <w:drawing>
          <wp:inline distT="0" distB="0" distL="0" distR="0">
            <wp:extent cx="3619500" cy="2609850"/>
            <wp:effectExtent t="0" r="0" b="0" l="0"/>
            <wp:docPr id="1" name="payments" descr="payments" title="pay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000"/>
        <w:gridCol w:w="2238"/>
      </w:tblGrid>
      <w:tr>
        <w:trPr>
          <w:tblHeader/>
        </w:trPr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  <w:tc>
          <w:tcPr>
            <w:tcW w:type="dxa" w:w="22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installments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credit_card</w:t>
            </w:r>
          </w:p>
        </w:tc>
        <w:tc>
          <w:tcPr>
            <w:tcW w:type="dxa" w:w="2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12,542,084</w:t>
            </w:r>
          </w:p>
        </w:tc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78.3%</w:t>
            </w:r>
          </w:p>
        </w:tc>
        <w:tc>
          <w:tcPr>
            <w:tcW w:type="dxa" w:w="22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boleto</w:t>
            </w:r>
          </w:p>
        </w:tc>
        <w:tc>
          <w:tcPr>
            <w:tcW w:type="dxa" w:w="2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2,869,361</w:t>
            </w:r>
          </w:p>
        </w:tc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17.9%</w:t>
            </w:r>
          </w:p>
        </w:tc>
        <w:tc>
          <w:tcPr>
            <w:tcW w:type="dxa" w:w="22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voucher</w:t>
            </w:r>
          </w:p>
        </w:tc>
        <w:tc>
          <w:tcPr>
            <w:tcW w:type="dxa" w:w="2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379,437</w:t>
            </w:r>
          </w:p>
        </w:tc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2.4%</w:t>
            </w:r>
          </w:p>
        </w:tc>
        <w:tc>
          <w:tcPr>
            <w:tcW w:type="dxa" w:w="22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debit_card</w:t>
            </w:r>
          </w:p>
        </w:tc>
        <w:tc>
          <w:tcPr>
            <w:tcW w:type="dxa" w:w="2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217,990</w:t>
            </w:r>
          </w:p>
        </w:tc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1.4%</w:t>
            </w:r>
          </w:p>
        </w:tc>
        <w:tc>
          <w:tcPr>
            <w:tcW w:type="dxa" w:w="22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30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INSIGHT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Credit card with installments drives sales. Boleto (a Brazilian cash-based payment) is second and delays payment confirmation.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Delivery &amp; satisfaction  (Q4 &amp; Q5)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905125" cy="1895475"/>
                  <wp:effectExtent t="0" r="0" b="0" l="0"/>
                  <wp:docPr id="1" name="review_delivery" descr="review_delivery" title="review_deliv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905125" cy="1895475"/>
                  <wp:effectExtent t="0" r="0" b="0" l="0"/>
                  <wp:docPr id="1" name="reviews" descr="reviews" title="review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/>
        <w:jc w:val="center"/>
      </w:pPr>
      <w:r>
        <w:drawing>
          <wp:inline distT="0" distB="0" distL="0" distR="0">
            <wp:extent cx="5715000" cy="2428875"/>
            <wp:effectExtent t="0" r="0" b="0" l="0"/>
            <wp:docPr id="1" name="states_delivery" descr="states_delivery" title="states_deliv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50" w:before="40" w:line="290"/>
        <w:jc w:val="left"/>
      </w:pPr>
      <w:r>
        <w:rPr>
          <w:rFonts w:ascii="Arial" w:cs="Arial" w:eastAsia="Arial" w:hAnsi="Arial"/>
          <w:sz w:val="22"/>
          <w:szCs w:val="22"/>
        </w:rPr>
        <w:t xml:space="preserve">Overall rating is 4.09: 57.8% are five-star, but 14.7% are poor (1–2 stars).</w:t>
      </w:r>
    </w:p>
    <w:p>
      <w:pPr>
        <w:pStyle w:val="ListParagraph"/>
        <w:numPr>
          <w:ilvl w:val="0"/>
          <w:numId w:val="2"/>
        </w:numPr>
        <w:spacing w:after="50" w:before="40" w:line="290"/>
        <w:jc w:val="left"/>
      </w:pPr>
      <w:r>
        <w:rPr>
          <w:rFonts w:ascii="Arial" w:cs="Arial" w:eastAsia="Arial" w:hAnsi="Arial"/>
          <w:sz w:val="22"/>
          <w:szCs w:val="22"/>
        </w:rPr>
        <w:t xml:space="preserve">Ratings fall steadily with each extra week of delay: 4.42 (7 days or less) down to 2.25 (over 30 days).</w:t>
      </w:r>
    </w:p>
    <w:p>
      <w:pPr>
        <w:pStyle w:val="ListParagraph"/>
        <w:numPr>
          <w:ilvl w:val="0"/>
          <w:numId w:val="2"/>
        </w:numPr>
        <w:spacing w:after="50" w:before="40" w:line="290"/>
        <w:jc w:val="left"/>
      </w:pPr>
      <w:r>
        <w:rPr>
          <w:rFonts w:ascii="Arial" w:cs="Arial" w:eastAsia="Arial" w:hAnsi="Arial"/>
          <w:sz w:val="22"/>
          <w:szCs w:val="22"/>
        </w:rPr>
        <w:t xml:space="preserve">Average delivery is 12.6 days with 8.1% late. SP is the fastest state (8.8 days) while the North and Northeast take 21 to 29 days. AL has the highest late rate (23.9%).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30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INSIGHT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Delivery is the strongest driver of satisfaction, and the North problem is geographic and logistical rather than a seller problem.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833A" w:sz="30"/>
              <w:bottom w:val="none" w:color="FFFFFF" w:sz="0"/>
              <w:right w:val="none" w:color="FFFFFF" w:sz="0"/>
            </w:tcBorders>
            <w:shd w:fill="FDF1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E8833A"/>
                <w:sz w:val="21"/>
                <w:szCs w:val="21"/>
              </w:rPr>
              <w:t xml:space="preserve">RECOMMENDATION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Reset the estimated delivery date in remote states so it reflects reality, because customers penalise missing the promised date more than a long duration.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Geography  (Q9)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2362200"/>
            <wp:effectExtent t="0" r="0" b="0" l="0"/>
            <wp:docPr id="1" name="states_orders" descr="states_orders" title="states_or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50" w:before="40" w:line="290"/>
        <w:jc w:val="left"/>
      </w:pPr>
      <w:r>
        <w:rPr>
          <w:rFonts w:ascii="Arial" w:cs="Arial" w:eastAsia="Arial" w:hAnsi="Arial"/>
          <w:sz w:val="22"/>
          <w:szCs w:val="22"/>
        </w:rPr>
        <w:t xml:space="preserve">SP 41,127 orders (41.9%), RJ 12,698 (12.9%), MG 11,496 (11.7%). The top 5 states hold 77% of orders.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30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INSIGHT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Orders cluster in the Southeast, where population density and logistics are strongest, which is also why delivery performance is best there.</w:t>
            </w:r>
          </w:p>
        </w:tc>
      </w:tr>
    </w:tbl>
    <w:p>
      <w:pPr>
        <w:pStyle w:val="Heading1"/>
        <w:pageBreakBefore/>
        <w:pBdr>
          <w:bottom w:val="single" w:color="E8833A" w:sz="12" w:space="6"/>
        </w:pBdr>
        <w:spacing w:after="200" w:before="0"/>
      </w:pPr>
      <w:r>
        <w:rPr>
          <w:rFonts w:ascii="Arial" w:cs="Arial" w:eastAsia="Arial" w:hAnsi="Arial"/>
          <w:b/>
          <w:bCs/>
          <w:color w:val="E8833A"/>
          <w:sz w:val="36"/>
          <w:szCs w:val="36"/>
        </w:rPr>
        <w:t xml:space="preserve">04  </w:t>
      </w: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Recommendations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3338"/>
        <w:gridCol w:w="2500"/>
      </w:tblGrid>
      <w:tr>
        <w:trPr>
          <w:tblHeader/>
        </w:trPr>
        <w:tc>
          <w:tcPr>
            <w:tcW w:type="dxa" w:w="11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3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from the analysis</w:t>
            </w:r>
          </w:p>
        </w:tc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to track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Reset estimated delivery dates in the North and Northeast</w:t>
            </w:r>
          </w:p>
        </w:tc>
        <w:tc>
          <w:tcPr>
            <w:tcW w:type="dxa" w:w="33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2.57 rating when late; AL has 23.9% late</w:t>
            </w:r>
          </w:p>
        </w:tc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 Deliveries %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retention programme (repeat-purchase coupon after delivery)</w:t>
            </w:r>
          </w:p>
        </w:tc>
        <w:tc>
          <w:tcPr>
            <w:tcW w:type="dxa" w:w="33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97% one-time buyers</w:t>
            </w:r>
          </w:p>
        </w:tc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 Orders per Customer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Expand in RS, PR and SC</w:t>
            </w:r>
          </w:p>
        </w:tc>
        <w:tc>
          <w:tcPr>
            <w:tcW w:type="dxa" w:w="33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SP+RJ+MG = 66.5% of orders</w:t>
            </w:r>
          </w:p>
        </w:tc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 of orders outside top 3 states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Support mid-tier sellers and improve their visibility</w:t>
            </w:r>
          </w:p>
        </w:tc>
        <w:tc>
          <w:tcPr>
            <w:tcW w:type="dxa" w:w="33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 20% = 82.5% of revenue</w:t>
            </w:r>
          </w:p>
        </w:tc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Sellers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Prepare stock and shipping before November</w:t>
            </w:r>
          </w:p>
        </w:tc>
        <w:tc>
          <w:tcPr>
            <w:tcW w:type="dxa" w:w="33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Black Friday 2017 peak</w:t>
            </w:r>
          </w:p>
        </w:tc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November revenue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Incentives for electronic payment instead of boleto</w:t>
            </w:r>
          </w:p>
        </w:tc>
        <w:tc>
          <w:tcPr>
            <w:tcW w:type="dxa" w:w="33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17.9% boleto</w:t>
            </w:r>
          </w:p>
        </w:tc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credit_card share</w:t>
            </w:r>
          </w:p>
        </w:tc>
      </w:tr>
    </w:tbl>
    <w:p>
      <w:pPr>
        <w:pStyle w:val="Heading1"/>
        <w:pageBreakBefore/>
        <w:pBdr>
          <w:bottom w:val="single" w:color="E8833A" w:sz="12" w:space="6"/>
        </w:pBdr>
        <w:spacing w:after="200" w:before="0"/>
      </w:pPr>
      <w:r>
        <w:rPr>
          <w:rFonts w:ascii="Arial" w:cs="Arial" w:eastAsia="Arial" w:hAnsi="Arial"/>
          <w:b/>
          <w:bCs/>
          <w:color w:val="E8833A"/>
          <w:sz w:val="36"/>
          <w:szCs w:val="36"/>
        </w:rPr>
        <w:t xml:space="preserve">05  </w:t>
      </w: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Dashboard Guide</w:t>
      </w:r>
    </w:p>
    <w:p>
      <w:pPr>
        <w:spacing w:after="100" w:before="40" w:line="290"/>
        <w:jc w:val="left"/>
      </w:pPr>
      <w:r>
        <w:rPr>
          <w:rFonts w:ascii="Arial" w:cs="Arial" w:eastAsia="Arial" w:hAnsi="Arial"/>
          <w:sz w:val="22"/>
          <w:szCs w:val="22"/>
        </w:rPr>
        <w:t xml:space="preserve">The dashboard has 4 pages at 1920×1080, with a side navigation menu and Year and Month slicers: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7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Overview</w:t>
            </w:r>
          </w:p>
        </w:tc>
        <w:tc>
          <w:tcPr>
            <w:tcW w:type="dxa" w:w="67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page with buttons to the other pages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 &amp; Payments</w:t>
            </w:r>
          </w:p>
        </w:tc>
        <w:tc>
          <w:tcPr>
            <w:tcW w:type="dxa" w:w="67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Cards (Revenue, Orders, AOV, YoY%), monthly and yearly revenue, order statuses, payment methods and installments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Products, Sellers &amp; Customers</w:t>
            </w:r>
          </w:p>
        </w:tc>
        <w:tc>
          <w:tcPr>
            <w:tcW w:type="dxa" w:w="67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Cards (Items Sold, Active Sellers, Unique Customers), category treemap, top products, seller table, top customers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Delivery, Satisfaction &amp; Geography</w:t>
            </w:r>
          </w:p>
        </w:tc>
        <w:tc>
          <w:tcPr>
            <w:tcW w:type="dxa" w:w="67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Cards (Review, Late %, Delivery Days, Freight), Brazil map, delivery days by state, orders by state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Measures (DAX)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tblHeader/>
        </w:trPr>
        <w:tc>
          <w:tcPr>
            <w:tcW w:type="dxa" w:w="3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57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 / Total Orders / Avg Order Value</w:t>
            </w:r>
          </w:p>
        </w:tc>
        <w:tc>
          <w:tcPr>
            <w:tcW w:type="dxa" w:w="57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 KPIs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Revenue YoY %</w:t>
            </w:r>
          </w:p>
        </w:tc>
        <w:tc>
          <w:tcPr>
            <w:tcW w:type="dxa" w:w="57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Growth versus the same period of the previous year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Value / Avg Installments</w:t>
            </w:r>
          </w:p>
        </w:tc>
        <w:tc>
          <w:tcPr>
            <w:tcW w:type="dxa" w:w="57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analysis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Items Sold / Active Sellers</w:t>
            </w:r>
          </w:p>
        </w:tc>
        <w:tc>
          <w:tcPr>
            <w:tcW w:type="dxa" w:w="57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 volume and seller base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Customers / Avg Orders per Customer</w:t>
            </w:r>
          </w:p>
        </w:tc>
        <w:tc>
          <w:tcPr>
            <w:tcW w:type="dxa" w:w="57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base and repeat rate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 Review Score</w:t>
            </w:r>
          </w:p>
        </w:tc>
        <w:tc>
          <w:tcPr>
            <w:tcW w:type="dxa" w:w="57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satisfaction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 Delivery Days / Late Deliveries % / Avg Freight</w:t>
            </w:r>
          </w:p>
        </w:tc>
        <w:tc>
          <w:tcPr>
            <w:tcW w:type="dxa" w:w="57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Delivery and shipping performance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Limitations</w:t>
      </w:r>
    </w:p>
    <w:p>
      <w:pPr>
        <w:pStyle w:val="ListParagraph"/>
        <w:numPr>
          <w:ilvl w:val="0"/>
          <w:numId w:val="2"/>
        </w:numPr>
        <w:spacing w:after="50" w:before="40" w:line="290"/>
        <w:jc w:val="left"/>
      </w:pPr>
      <w:r>
        <w:rPr>
          <w:rFonts w:ascii="Arial" w:cs="Arial" w:eastAsia="Arial" w:hAnsi="Arial"/>
          <w:sz w:val="22"/>
          <w:szCs w:val="22"/>
        </w:rPr>
        <w:t xml:space="preserve">The data effectively ends in August 2018 and 2016 is partial, so comparisons must use the same period.</w:t>
      </w:r>
    </w:p>
    <w:p>
      <w:pPr>
        <w:pStyle w:val="ListParagraph"/>
        <w:numPr>
          <w:ilvl w:val="0"/>
          <w:numId w:val="2"/>
        </w:numPr>
        <w:spacing w:after="50" w:before="40" w:line="290"/>
        <w:jc w:val="left"/>
      </w:pPr>
      <w:r>
        <w:rPr>
          <w:rFonts w:ascii="Arial" w:cs="Arial" w:eastAsia="Arial" w:hAnsi="Arial"/>
          <w:sz w:val="22"/>
          <w:szCs w:val="22"/>
        </w:rPr>
        <w:t xml:space="preserve">The data comes from Olist only and is anonymised, so results should not be generalised to the whole Brazilian market.</w:t>
      </w:r>
    </w:p>
    <w:p>
      <w:pPr>
        <w:pStyle w:val="ListParagraph"/>
        <w:numPr>
          <w:ilvl w:val="0"/>
          <w:numId w:val="2"/>
        </w:numPr>
        <w:spacing w:after="50" w:before="40" w:line="290"/>
        <w:jc w:val="left"/>
      </w:pPr>
      <w:r>
        <w:rPr>
          <w:rFonts w:ascii="Arial" w:cs="Arial" w:eastAsia="Arial" w:hAnsi="Arial"/>
          <w:sz w:val="22"/>
          <w:szCs w:val="22"/>
        </w:rPr>
        <w:t xml:space="preserve">Figures were computed from the CSV files using the same logic as the measures. If a card differs slightly, check the Year and Month slicers.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Olist E-Commerce Analysis  |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09f5480cea284221cceb2b411fad940adcca0fc.png"/><Relationship Id="rId9" Type="http://schemas.openxmlformats.org/officeDocument/2006/relationships/image" Target="media/c571b8f46d5df6d59f9da9238c74f299b017419b.png"/><Relationship Id="rId10" Type="http://schemas.openxmlformats.org/officeDocument/2006/relationships/image" Target="media/f51237004a164c02df258217581804c087b21a7b.png"/><Relationship Id="rId11" Type="http://schemas.openxmlformats.org/officeDocument/2006/relationships/image" Target="media/6f0522812ae72537145a5338c7f5ef768469d811.png"/><Relationship Id="rId12" Type="http://schemas.openxmlformats.org/officeDocument/2006/relationships/image" Target="media/d702725a9b5a0d54b8f88f4da8d9686629d30929.png"/><Relationship Id="rId13" Type="http://schemas.openxmlformats.org/officeDocument/2006/relationships/image" Target="media/c70ce42233013460900436451f283788b26e1e83.png"/><Relationship Id="rId14" Type="http://schemas.openxmlformats.org/officeDocument/2006/relationships/image" Target="media/c2b2560ca99cdf2a4bceb78855665561b0aa494a.png"/><Relationship Id="rId15" Type="http://schemas.openxmlformats.org/officeDocument/2006/relationships/image" Target="media/cacaafa8ae7a4e167b9c18d099345b980507c7df.png"/><Relationship Id="rId16" Type="http://schemas.openxmlformats.org/officeDocument/2006/relationships/image" Target="media/a1cf600b554aa71b460d08786fee66c8ebbb186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Olist Project</dc:creator>
  <cp:lastModifiedBy>Un-named</cp:lastModifiedBy>
  <cp:revision>1</cp:revision>
  <dcterms:created xsi:type="dcterms:W3CDTF">2026-10-11T20:11:56.398Z</dcterms:created>
  <dcterms:modified xsi:type="dcterms:W3CDTF">2026-10-11T20:11:56.399Z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