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pi-design-competency-rubric"/>
    <w:p>
      <w:pPr>
        <w:pStyle w:val="Heading1"/>
      </w:pPr>
      <w:r>
        <w:t xml:space="preserve">API Design Competency Rubric</w:t>
      </w:r>
    </w:p>
    <w:bookmarkStart w:id="20" w:name="purpose"/>
    <w:p>
      <w:pPr>
        <w:pStyle w:val="Heading2"/>
      </w:pPr>
      <w:r>
        <w:t xml:space="preserve">Purpose</w:t>
      </w:r>
    </w:p>
    <w:p>
      <w:pPr>
        <w:pStyle w:val="FirstParagraph"/>
      </w:pPr>
      <w:r>
        <w:t xml:space="preserve">Evaluates a developer’s ability to design clear, consistent, and maintainable APIs. This rubric is intended for use alongside a design exercise or real API pull requests, since API design quality is difficult to assess through code-reading alone — it often requires understanding the reasoning behind decisions that are not fully visible in the final implementation.</w:t>
      </w:r>
    </w:p>
    <w:bookmarkEnd w:id="20"/>
    <w:bookmarkStart w:id="25" w:name="competency-resource-modeling"/>
    <w:p>
      <w:pPr>
        <w:pStyle w:val="Heading2"/>
      </w:pPr>
      <w:r>
        <w:t xml:space="preserve">Competency: Resource Modeling</w:t>
      </w:r>
    </w:p>
    <w:bookmarkStart w:id="21" w:name="level-1-novice"/>
    <w:p>
      <w:pPr>
        <w:pStyle w:val="Heading3"/>
      </w:pPr>
      <w:r>
        <w:t xml:space="preserve">Level 1 — Novice</w:t>
      </w:r>
    </w:p>
    <w:p>
      <w:pPr>
        <w:pStyle w:val="FirstParagraph"/>
      </w:pPr>
      <w:r>
        <w:t xml:space="preserve">Endpoints are named inconsistently, mixing action verbs and resource nouns within the same API surface (for example,</w:t>
      </w:r>
      <w:r>
        <w:t xml:space="preserve"> </w:t>
      </w:r>
      <w:r>
        <w:rPr>
          <w:rStyle w:val="VerbatimChar"/>
        </w:rPr>
        <w:t xml:space="preserve">/getUser</w:t>
      </w:r>
      <w:r>
        <w:t xml:space="preserve">,</w:t>
      </w:r>
      <w:r>
        <w:t xml:space="preserve"> </w:t>
      </w:r>
      <w:r>
        <w:rPr>
          <w:rStyle w:val="VerbatimChar"/>
        </w:rPr>
        <w:t xml:space="preserve">/users/create</w:t>
      </w:r>
      <w:r>
        <w:t xml:space="preserve">, and</w:t>
      </w:r>
      <w:r>
        <w:t xml:space="preserve"> </w:t>
      </w:r>
      <w:r>
        <w:rPr>
          <w:rStyle w:val="VerbatimChar"/>
        </w:rPr>
        <w:t xml:space="preserve">/deleteUserById</w:t>
      </w:r>
      <w:r>
        <w:t xml:space="preserve"> </w:t>
      </w:r>
      <w:r>
        <w:t xml:space="preserve">coexisting in the same service); resource boundaries are unclear, and it is not obvious from the endpoint list what the underlying data model actually looks like.</w:t>
      </w:r>
    </w:p>
    <w:bookmarkEnd w:id="21"/>
    <w:bookmarkStart w:id="22" w:name="level-2-developing"/>
    <w:p>
      <w:pPr>
        <w:pStyle w:val="Heading3"/>
      </w:pPr>
      <w:r>
        <w:t xml:space="preserve">Level 2 — Developing</w:t>
      </w:r>
    </w:p>
    <w:p>
      <w:pPr>
        <w:pStyle w:val="FirstParagraph"/>
      </w:pPr>
      <w:r>
        <w:t xml:space="preserve">Endpoints generally follow noun-based resource conventions, but nesting and relationships between resources are sometimes awkward or inconsistent — for example, sometimes nesting a resource under its parent (</w:t>
      </w:r>
      <w:r>
        <w:rPr>
          <w:rStyle w:val="VerbatimChar"/>
        </w:rPr>
        <w:t xml:space="preserve">/users/{id}/orders</w:t>
      </w:r>
      <w:r>
        <w:t xml:space="preserve">) and sometimes not (</w:t>
      </w:r>
      <w:r>
        <w:rPr>
          <w:rStyle w:val="VerbatimChar"/>
        </w:rPr>
        <w:t xml:space="preserve">/orders?userId={id}</w:t>
      </w:r>
      <w:r>
        <w:t xml:space="preserve">) without a clear, stated rule for when each approach applies.</w:t>
      </w:r>
    </w:p>
    <w:bookmarkEnd w:id="22"/>
    <w:bookmarkStart w:id="23" w:name="level-3-proficient"/>
    <w:p>
      <w:pPr>
        <w:pStyle w:val="Heading3"/>
      </w:pPr>
      <w:r>
        <w:t xml:space="preserve">Level 3 — Proficient</w:t>
      </w:r>
    </w:p>
    <w:p>
      <w:pPr>
        <w:pStyle w:val="FirstParagraph"/>
      </w:pPr>
      <w:r>
        <w:t xml:space="preserve">Resources are modeled clearly and consistently across the API surface; nesting is used specifically to reflect genuine ownership or containment relationships, and the developer can articulate the rule they are following when deciding between a nested versus a flat, filtered endpoint design.</w:t>
      </w:r>
    </w:p>
    <w:bookmarkEnd w:id="23"/>
    <w:bookmarkStart w:id="24" w:name="level-4-advanced"/>
    <w:p>
      <w:pPr>
        <w:pStyle w:val="Heading3"/>
      </w:pPr>
      <w:r>
        <w:t xml:space="preserve">Level 4 — Advanced</w:t>
      </w:r>
    </w:p>
    <w:p>
      <w:pPr>
        <w:pStyle w:val="FirstParagraph"/>
      </w:pPr>
      <w:r>
        <w:t xml:space="preserve">Anticipates future extensibility in resource design — for example, choosing a resource structure that will not require a breaking change when a currently one-to-one relationship becomes one-to-many in the future — and makes deliberate, explainable tradeoffs between normalizing the API surface (mirroring the underlying data model closely) and optimizing for client convenience (denormalizing responses to reduce the number of round trips a typical client needs to make).</w:t>
      </w:r>
    </w:p>
    <w:bookmarkEnd w:id="24"/>
    <w:bookmarkEnd w:id="25"/>
    <w:bookmarkStart w:id="30" w:name="Xdf81720446184c437441e14718875cee083cf82"/>
    <w:p>
      <w:pPr>
        <w:pStyle w:val="Heading2"/>
      </w:pPr>
      <w:r>
        <w:t xml:space="preserve">Competency: Error Handling and Status Codes</w:t>
      </w:r>
    </w:p>
    <w:bookmarkStart w:id="26" w:name="level-1-novice-1"/>
    <w:p>
      <w:pPr>
        <w:pStyle w:val="Heading3"/>
      </w:pPr>
      <w:r>
        <w:t xml:space="preserve">Level 1 — Novice</w:t>
      </w:r>
    </w:p>
    <w:p>
      <w:pPr>
        <w:pStyle w:val="FirstParagraph"/>
      </w:pPr>
      <w:r>
        <w:t xml:space="preserve">Returns HTTP 200 for most responses regardless of actual outcome, including error conditions, relying on a body field such as</w:t>
      </w:r>
      <w:r>
        <w:t xml:space="preserve"> </w:t>
      </w:r>
      <w:r>
        <w:rPr>
          <w:rStyle w:val="VerbatimChar"/>
        </w:rPr>
        <w:t xml:space="preserve">{"success": false}</w:t>
      </w:r>
      <w:r>
        <w:t xml:space="preserve"> </w:t>
      </w:r>
      <w:r>
        <w:t xml:space="preserve">to communicate failure — meaning clients cannot rely on standard HTTP-level tooling (such as automatic retry logic keyed on status code) to detect failures correctly.</w:t>
      </w:r>
    </w:p>
    <w:bookmarkEnd w:id="26"/>
    <w:bookmarkStart w:id="27" w:name="level-2-developing-1"/>
    <w:p>
      <w:pPr>
        <w:pStyle w:val="Heading3"/>
      </w:pPr>
      <w:r>
        <w:t xml:space="preserve">Level 2 — Developing</w:t>
      </w:r>
    </w:p>
    <w:p>
      <w:pPr>
        <w:pStyle w:val="FirstParagraph"/>
      </w:pPr>
      <w:r>
        <w:t xml:space="preserve">Uses common status codes (200, 404, 500) but applies the distinction between client errors (4xx) and server errors (5xx) inconsistently — for example, returning a 500 for a validation failure that is actually the client’s fault (invalid input), rather than an appropriate 400 or 422.</w:t>
      </w:r>
    </w:p>
    <w:bookmarkEnd w:id="27"/>
    <w:bookmarkStart w:id="28" w:name="level-3-proficient-1"/>
    <w:p>
      <w:pPr>
        <w:pStyle w:val="Heading3"/>
      </w:pPr>
      <w:r>
        <w:t xml:space="preserve">Level 3 — Proficient</w:t>
      </w:r>
    </w:p>
    <w:p>
      <w:pPr>
        <w:pStyle w:val="FirstParagraph"/>
      </w:pPr>
      <w:r>
        <w:t xml:space="preserve">Applies status codes correctly and consistently across the API surface; error responses include structured, actionable detail (an error code, a human-readable message, and where applicable, which specific field failed validation) rather than a generic, unhelpful error message.</w:t>
      </w:r>
    </w:p>
    <w:bookmarkEnd w:id="28"/>
    <w:bookmarkStart w:id="29" w:name="level-4-advanced-1"/>
    <w:p>
      <w:pPr>
        <w:pStyle w:val="Heading3"/>
      </w:pPr>
      <w:r>
        <w:t xml:space="preserve">Level 4 — Advanced</w:t>
      </w:r>
    </w:p>
    <w:p>
      <w:pPr>
        <w:pStyle w:val="FirstParagraph"/>
      </w:pPr>
      <w:r>
        <w:t xml:space="preserve">Designs a consistent error response schema applied uniformly across the entire API surface, documents it as part of the API’s public contract, and considers how errors should be communicated differently to different types of consumers (for example, a detailed validation error for a first-party frontend versus a more conservative error message for a public third-party integration, to avoid leaking internal implementation details).</w:t>
      </w:r>
    </w:p>
    <w:bookmarkEnd w:id="29"/>
    <w:bookmarkEnd w:id="30"/>
    <w:bookmarkStart w:id="35" w:name="competency-documentation-quality"/>
    <w:p>
      <w:pPr>
        <w:pStyle w:val="Heading2"/>
      </w:pPr>
      <w:r>
        <w:t xml:space="preserve">Competency: Documentation Quality</w:t>
      </w:r>
    </w:p>
    <w:bookmarkStart w:id="31" w:name="level-1-novice-2"/>
    <w:p>
      <w:pPr>
        <w:pStyle w:val="Heading3"/>
      </w:pPr>
      <w:r>
        <w:t xml:space="preserve">Level 1 — Novice</w:t>
      </w:r>
    </w:p>
    <w:p>
      <w:pPr>
        <w:pStyle w:val="FirstParagraph"/>
      </w:pPr>
      <w:r>
        <w:t xml:space="preserve">No documentation exists, or existing documentation has drifted out of sync with the API’s actual current behavior, making it actively misleading rather than merely incomplete.</w:t>
      </w:r>
    </w:p>
    <w:bookmarkEnd w:id="31"/>
    <w:bookmarkStart w:id="32" w:name="level-2-developing-2"/>
    <w:p>
      <w:pPr>
        <w:pStyle w:val="Heading3"/>
      </w:pPr>
      <w:r>
        <w:t xml:space="preserve">Level 2 — Developing</w:t>
      </w:r>
    </w:p>
    <w:p>
      <w:pPr>
        <w:pStyle w:val="FirstParagraph"/>
      </w:pPr>
      <w:r>
        <w:t xml:space="preserve">Basic documentation exists covering the main use cases, but lacks concrete examples and does not cover edge cases or error responses in any detail.</w:t>
      </w:r>
    </w:p>
    <w:bookmarkEnd w:id="32"/>
    <w:bookmarkStart w:id="33" w:name="level-3-proficient-2"/>
    <w:p>
      <w:pPr>
        <w:pStyle w:val="Heading3"/>
      </w:pPr>
      <w:r>
        <w:t xml:space="preserve">Level 3 — Proficient</w:t>
      </w:r>
    </w:p>
    <w:p>
      <w:pPr>
        <w:pStyle w:val="FirstParagraph"/>
      </w:pPr>
      <w:r>
        <w:t xml:space="preserve">Documentation is accurate, includes realistic request and response examples, and is kept in sync with the actual implementation — typically through tooling (such as generating documentation from an OpenAPI specification or from code annotations) rather than being maintained as an entirely separate, manually updated artifact.</w:t>
      </w:r>
    </w:p>
    <w:bookmarkEnd w:id="33"/>
    <w:bookmarkStart w:id="34" w:name="level-4-advanced-2"/>
    <w:p>
      <w:pPr>
        <w:pStyle w:val="Heading3"/>
      </w:pPr>
      <w:r>
        <w:t xml:space="preserve">Level 4 — Advanced</w:t>
      </w:r>
    </w:p>
    <w:p>
      <w:pPr>
        <w:pStyle w:val="FirstParagraph"/>
      </w:pPr>
      <w:r>
        <w:t xml:space="preserve">Documentation is treated as a design artifact produced before implementation begins (contract-first design), used to drive discussion and agreement between frontend and backend teams, or between API provider and consumer, before code is written — rather than being written retroactively to describe whatever was ultimately implemented.</w:t>
      </w:r>
    </w:p>
    <w:bookmarkEnd w:id="34"/>
    <w:bookmarkEnd w:id="35"/>
    <w:bookmarkStart w:id="36" w:name="evaluation-notes"/>
    <w:p>
      <w:pPr>
        <w:pStyle w:val="Heading2"/>
      </w:pPr>
      <w:r>
        <w:t xml:space="preserve">Evaluation Notes</w:t>
      </w:r>
    </w:p>
    <w:p>
      <w:pPr>
        <w:pStyle w:val="FirstParagraph"/>
      </w:pPr>
      <w:r>
        <w:t xml:space="preserve">This competency is best assessed via a design exercise where the candidate or developer is asked to propose an API design for a described feature (without necessarily implementing it), followed by a walkthrough discussion where the evaluator can ask</w:t>
      </w:r>
      <w:r>
        <w:t xml:space="preserve"> </w:t>
      </w:r>
      <w:r>
        <w:t xml:space="preserve">“</w:t>
      </w:r>
      <w:r>
        <w:t xml:space="preserve">why</w:t>
      </w:r>
      <w:r>
        <w:t xml:space="preserve">”</w:t>
      </w:r>
      <w:r>
        <w:t xml:space="preserve"> </w:t>
      </w:r>
      <w:r>
        <w:t xml:space="preserve">about specific choices — since the reasoning behind a design decision is often more informative than the decision itself when distinguishing Level 2 from Level 3 performance.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