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atabase-design-competency-levels"/>
    <w:p>
      <w:pPr>
        <w:pStyle w:val="Heading1"/>
      </w:pPr>
      <w:r>
        <w:t xml:space="preserve">Database Design Competency Levels</w:t>
      </w:r>
    </w:p>
    <w:bookmarkStart w:id="20" w:name="purpose"/>
    <w:p>
      <w:pPr>
        <w:pStyle w:val="Heading2"/>
      </w:pPr>
      <w:r>
        <w:t xml:space="preserve">Purpose</w:t>
      </w:r>
    </w:p>
    <w:p>
      <w:pPr>
        <w:pStyle w:val="FirstParagraph"/>
      </w:pPr>
      <w:r>
        <w:t xml:space="preserve">This rubric describes competency levels for schema and database design ability among junior backend developers. Database design competency is evaluated separately from general SQL query-writing ability, since a developer can write correct queries against a poorly designed schema without necessarily being able to design that schema well themselves, and the two skills develop at different rates.</w:t>
      </w:r>
    </w:p>
    <w:bookmarkEnd w:id="20"/>
    <w:bookmarkStart w:id="21" w:name="level-1-novice"/>
    <w:p>
      <w:pPr>
        <w:pStyle w:val="Heading2"/>
      </w:pPr>
      <w:r>
        <w:t xml:space="preserve">Level 1 — Novice</w:t>
      </w:r>
    </w:p>
    <w:p>
      <w:pPr>
        <w:pStyle w:val="FirstParagraph"/>
      </w:pPr>
      <w:r>
        <w:t xml:space="preserve">At the novice level, a developer can create basic tables with primary keys but struggles with normalization and often duplicates data unnecessarily across tables. A typical example is storing a customer’s full name and shipping address directly on every order row, rather than referencing a separate</w:t>
      </w:r>
      <w:r>
        <w:t xml:space="preserve"> </w:t>
      </w:r>
      <w:r>
        <w:rPr>
          <w:rStyle w:val="VerbatimChar"/>
        </w:rPr>
        <w:t xml:space="preserve">customers</w:t>
      </w:r>
      <w:r>
        <w:t xml:space="preserve"> </w:t>
      </w:r>
      <w:r>
        <w:t xml:space="preserve">table — meaning any change to a customer’s address requires updating every historical order row rather than a single customer record, and creates an obvious risk of the same customer’s data becoming inconsistent across different order rows over time.</w:t>
      </w:r>
    </w:p>
    <w:bookmarkEnd w:id="21"/>
    <w:bookmarkStart w:id="22" w:name="level-2-developing"/>
    <w:p>
      <w:pPr>
        <w:pStyle w:val="Heading2"/>
      </w:pPr>
      <w:r>
        <w:t xml:space="preserve">Level 2 — Developing</w:t>
      </w:r>
    </w:p>
    <w:p>
      <w:pPr>
        <w:pStyle w:val="FirstParagraph"/>
      </w:pPr>
      <w:r>
        <w:t xml:space="preserve">At the developing level, a developer applies normalization concepts learned academically but sometimes over-normalizes in practice, leading to schema designs that require an excessive number of joins to answer even common, simple business questions. A typical example is splitting a</w:t>
      </w:r>
      <w:r>
        <w:t xml:space="preserve"> </w:t>
      </w:r>
      <w:r>
        <w:rPr>
          <w:rStyle w:val="VerbatimChar"/>
        </w:rPr>
        <w:t xml:space="preserve">product</w:t>
      </w:r>
      <w:r>
        <w:t xml:space="preserve"> </w:t>
      </w:r>
      <w:r>
        <w:t xml:space="preserve">table into</w:t>
      </w:r>
      <w:r>
        <w:t xml:space="preserve"> </w:t>
      </w:r>
      <w:r>
        <w:rPr>
          <w:rStyle w:val="VerbatimChar"/>
        </w:rPr>
        <w:t xml:space="preserve">product_name</w:t>
      </w:r>
      <w:r>
        <w:t xml:space="preserve">,</w:t>
      </w:r>
      <w:r>
        <w:t xml:space="preserve"> </w:t>
      </w:r>
      <w:r>
        <w:rPr>
          <w:rStyle w:val="VerbatimChar"/>
        </w:rPr>
        <w:t xml:space="preserve">product_price</w:t>
      </w:r>
      <w:r>
        <w:t xml:space="preserve">, and</w:t>
      </w:r>
      <w:r>
        <w:t xml:space="preserve"> </w:t>
      </w:r>
      <w:r>
        <w:rPr>
          <w:rStyle w:val="VerbatimChar"/>
        </w:rPr>
        <w:t xml:space="preserve">product_description</w:t>
      </w:r>
      <w:r>
        <w:t xml:space="preserve"> </w:t>
      </w:r>
      <w:r>
        <w:t xml:space="preserve">as three entirely separate tables joined by product ID, when these attributes have no independent lifecycle of their own and belong together on a single</w:t>
      </w:r>
      <w:r>
        <w:t xml:space="preserve"> </w:t>
      </w:r>
      <w:r>
        <w:rPr>
          <w:rStyle w:val="VerbatimChar"/>
        </w:rPr>
        <w:t xml:space="preserve">products</w:t>
      </w:r>
      <w:r>
        <w:t xml:space="preserve"> </w:t>
      </w:r>
      <w:r>
        <w:t xml:space="preserve">table.</w:t>
      </w:r>
    </w:p>
    <w:bookmarkEnd w:id="22"/>
    <w:bookmarkStart w:id="23" w:name="level-3-proficient"/>
    <w:p>
      <w:pPr>
        <w:pStyle w:val="Heading2"/>
      </w:pPr>
      <w:r>
        <w:t xml:space="preserve">Level 3 — Proficient</w:t>
      </w:r>
    </w:p>
    <w:p>
      <w:pPr>
        <w:pStyle w:val="FirstParagraph"/>
      </w:pPr>
      <w:r>
        <w:t xml:space="preserve">At the proficient level, a developer makes deliberate, explainable normalization tradeoffs rather than mechanically applying normalization rules, adds appropriate indexes based on actual or anticipated query patterns rather than indexing every column defensively, and treats referential integrity constraints (foreign keys, not-null constraints, unique constraints) as a default design choice rather than something added only after a data integrity problem has already occurred in production.</w:t>
      </w:r>
    </w:p>
    <w:p>
      <w:pPr>
        <w:pStyle w:val="BodyText"/>
      </w:pPr>
      <w:r>
        <w:t xml:space="preserve">A proficient developer designing the same order system would place</w:t>
      </w:r>
      <w:r>
        <w:t xml:space="preserve"> </w:t>
      </w:r>
      <w:r>
        <w:rPr>
          <w:rStyle w:val="VerbatimChar"/>
        </w:rPr>
        <w:t xml:space="preserve">customers</w:t>
      </w:r>
      <w:r>
        <w:t xml:space="preserve"> </w:t>
      </w:r>
      <w:r>
        <w:t xml:space="preserve">and</w:t>
      </w:r>
      <w:r>
        <w:t xml:space="preserve"> </w:t>
      </w:r>
      <w:r>
        <w:rPr>
          <w:rStyle w:val="VerbatimChar"/>
        </w:rPr>
        <w:t xml:space="preserve">orders</w:t>
      </w:r>
      <w:r>
        <w:t xml:space="preserve"> </w:t>
      </w:r>
      <w:r>
        <w:t xml:space="preserve">as separate tables (since a customer’s lifecycle is independent of any single order), but would keep an order’s line items denormalized to the extent that makes sense for the application’s actual read patterns, and would be able to articulate why.</w:t>
      </w:r>
    </w:p>
    <w:bookmarkEnd w:id="23"/>
    <w:bookmarkStart w:id="24" w:name="level-4-advanced"/>
    <w:p>
      <w:pPr>
        <w:pStyle w:val="Heading2"/>
      </w:pPr>
      <w:r>
        <w:t xml:space="preserve">Level 4 — Advanced</w:t>
      </w:r>
    </w:p>
    <w:p>
      <w:pPr>
        <w:pStyle w:val="FirstParagraph"/>
      </w:pPr>
      <w:r>
        <w:t xml:space="preserve">At the advanced level, a developer can reason about schema evolution over time — designing migrations that can be applied safely to a live production database without downtime, considering backward compatibility for any application code that has not yet been updated to use a new column or table — and can discuss the tradeoffs between normalization and read performance at scale, including when a deliberately denormalized reporting table or materialized view is the right choice despite the data duplication it introduces.</w:t>
      </w:r>
    </w:p>
    <w:p>
      <w:pPr>
        <w:pStyle w:val="BodyText"/>
      </w:pPr>
      <w:r>
        <w:t xml:space="preserve">An advanced developer would additionally consider questions such as: what happens to existing rows when a new required column is added to a large, actively-written-to production table, and how can this be staged (for example, adding the column as nullable first, backfilling existing rows, then adding a not-null constraint in a later migration) to avoid locking the table for an extended period during a single large migration.</w:t>
      </w:r>
    </w:p>
    <w:bookmarkEnd w:id="24"/>
    <w:bookmarkStart w:id="25" w:name="evaluation-guidance"/>
    <w:p>
      <w:pPr>
        <w:pStyle w:val="Heading2"/>
      </w:pPr>
      <w:r>
        <w:t xml:space="preserve">Evaluation Guidance</w:t>
      </w:r>
    </w:p>
    <w:p>
      <w:pPr>
        <w:pStyle w:val="FirstParagraph"/>
      </w:pPr>
      <w:r>
        <w:t xml:space="preserve">Evaluators should look for evidence of these levels in schema design exercises, actual migration pull requests from the developer’s work history, and discussions of query performance tradeoffs during design conversations — rather than relying solely on a developer’s self-assessment of their own database design ability, since self-assessment in this competency area tends to be poorly calibrated, particularly at the boundary between Level 2 and Level 3.</w:t>
      </w:r>
    </w:p>
    <w:bookmarkEnd w:id="25"/>
    <w:bookmarkStart w:id="26" w:name="common-evaluation-pitfall"/>
    <w:p>
      <w:pPr>
        <w:pStyle w:val="Heading2"/>
      </w:pPr>
      <w:r>
        <w:t xml:space="preserve">Common Evaluation Pitfall</w:t>
      </w:r>
    </w:p>
    <w:p>
      <w:pPr>
        <w:pStyle w:val="FirstParagraph"/>
      </w:pPr>
      <w:r>
        <w:t xml:space="preserve">Evaluators should be careful not to conflate</w:t>
      </w:r>
      <w:r>
        <w:t xml:space="preserve"> </w:t>
      </w:r>
      <w:r>
        <w:t xml:space="preserve">“</w:t>
      </w:r>
      <w:r>
        <w:t xml:space="preserve">can write complex JOIN queries</w:t>
      </w:r>
      <w:r>
        <w:t xml:space="preserve">”</w:t>
      </w:r>
      <w:r>
        <w:t xml:space="preserve"> </w:t>
      </w:r>
      <w:r>
        <w:t xml:space="preserve">with database design competency — a developer can be highly proficient at querying a schema they did not design, without yet having developed the judgment to design a good schema from scratch. These are related but distinct skills and should be evaluated using different evidence.</w:t>
      </w:r>
    </w:p>
    <w:bookmarkEnd w:id="26"/>
    <w:bookmarkStart w:id="27" w:name="typical-progression-timeline"/>
    <w:p>
      <w:pPr>
        <w:pStyle w:val="Heading2"/>
      </w:pPr>
      <w:r>
        <w:t xml:space="preserve">Typical Progression Timeline</w:t>
      </w:r>
    </w:p>
    <w:p>
      <w:pPr>
        <w:pStyle w:val="FirstParagraph"/>
      </w:pPr>
      <w:r>
        <w:t xml:space="preserve">A Junior Backend Developer is typically expected to reach the proficient level within twelve to eighteen months of consistent, hands-on database design work, assuming they receive regular code review feedback on schema and migration pull requests during that period rather than working in isolation.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