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sql-fundamentals-for-backend-developers"/>
    <w:p>
      <w:pPr>
        <w:pStyle w:val="Heading1"/>
      </w:pPr>
      <w:r>
        <w:t xml:space="preserve">SQL Fundamentals for Backend Developers</w:t>
      </w:r>
    </w:p>
    <w:bookmarkStart w:id="20" w:name="overview"/>
    <w:p>
      <w:pPr>
        <w:pStyle w:val="Heading2"/>
      </w:pPr>
      <w:r>
        <w:t xml:space="preserve">Overview</w:t>
      </w:r>
    </w:p>
    <w:p>
      <w:pPr>
        <w:pStyle w:val="FirstParagraph"/>
      </w:pPr>
      <w:r>
        <w:t xml:space="preserve">A hands-on introduction to relational databases and SQL, aimed at developers who will be writing and optimizing queries as part of backend application work. Unlike a general database theory course, this course is scoped tightly to what a backend developer needs to be productive and safe when working with a production relational database: correct queries, sensible schema design, and awareness of the most common performance pitfalls.</w:t>
      </w:r>
    </w:p>
    <w:p>
      <w:pPr>
        <w:pStyle w:val="BodyText"/>
      </w:pPr>
      <w:r>
        <w:t xml:space="preserve">The course uses a running example throughout: an e-commerce order system with customers, products, orders, and order line items. Every exercise builds against this same schema so students see how design decisions in early modules affect query complexity in later ones.</w:t>
      </w:r>
    </w:p>
    <w:bookmarkEnd w:id="20"/>
    <w:bookmarkStart w:id="21" w:name="objectives"/>
    <w:p>
      <w:pPr>
        <w:pStyle w:val="Heading2"/>
      </w:pPr>
      <w:r>
        <w:t xml:space="preserve">Objectives</w:t>
      </w:r>
    </w:p>
    <w:p>
      <w:pPr>
        <w:numPr>
          <w:ilvl w:val="0"/>
          <w:numId w:val="1001"/>
        </w:numPr>
        <w:pStyle w:val="Compact"/>
      </w:pPr>
      <w:r>
        <w:t xml:space="preserve">Write correct SELECT, INSERT, UPDATE, and DELETE statements</w:t>
      </w:r>
    </w:p>
    <w:p>
      <w:pPr>
        <w:numPr>
          <w:ilvl w:val="0"/>
          <w:numId w:val="1001"/>
        </w:numPr>
        <w:pStyle w:val="Compact"/>
      </w:pPr>
      <w:r>
        <w:t xml:space="preserve">Understand primary keys, foreign keys, and referential integrity</w:t>
      </w:r>
    </w:p>
    <w:p>
      <w:pPr>
        <w:numPr>
          <w:ilvl w:val="0"/>
          <w:numId w:val="1001"/>
        </w:numPr>
        <w:pStyle w:val="Compact"/>
      </w:pPr>
      <w:r>
        <w:t xml:space="preserve">Use JOINs to combine data across multiple tables</w:t>
      </w:r>
    </w:p>
    <w:p>
      <w:pPr>
        <w:numPr>
          <w:ilvl w:val="0"/>
          <w:numId w:val="1001"/>
        </w:numPr>
        <w:pStyle w:val="Compact"/>
      </w:pPr>
      <w:r>
        <w:t xml:space="preserve">Design normalized schemas up to third normal form, and recognize when denormalization is a deliberate, justified tradeoff</w:t>
      </w:r>
    </w:p>
    <w:p>
      <w:pPr>
        <w:numPr>
          <w:ilvl w:val="0"/>
          <w:numId w:val="1001"/>
        </w:numPr>
        <w:pStyle w:val="Compact"/>
      </w:pPr>
      <w:r>
        <w:t xml:space="preserve">Identify and fix common query performance problems</w:t>
      </w:r>
    </w:p>
    <w:p>
      <w:pPr>
        <w:numPr>
          <w:ilvl w:val="0"/>
          <w:numId w:val="1001"/>
        </w:numPr>
        <w:pStyle w:val="Compact"/>
      </w:pPr>
      <w:r>
        <w:t xml:space="preserve">Use transactions correctly to maintain data consistency across multi-step operations</w:t>
      </w:r>
    </w:p>
    <w:bookmarkEnd w:id="21"/>
    <w:bookmarkStart w:id="23" w:name="module-1-relational-model-basics"/>
    <w:p>
      <w:pPr>
        <w:pStyle w:val="Heading2"/>
      </w:pPr>
      <w:r>
        <w:t xml:space="preserve">Module 1 — Relational Model Basics</w:t>
      </w:r>
    </w:p>
    <w:p>
      <w:pPr>
        <w:pStyle w:val="FirstParagraph"/>
      </w:pPr>
      <w:r>
        <w:t xml:space="preserve">Tables, rows, columns, data types, and the relational model’s core assumptions: that data is organized into named relations (tables), each row represents one entity instance, and relationships between entities are represented via shared key values rather than nested structures.</w:t>
      </w:r>
    </w:p>
    <w:p>
      <w:pPr>
        <w:pStyle w:val="BodyText"/>
      </w:pPr>
      <w:r>
        <w:t xml:space="preserve">Students are introduced to the order system schema:</w:t>
      </w:r>
      <w:r>
        <w:t xml:space="preserve"> </w:t>
      </w:r>
      <w:r>
        <w:rPr>
          <w:rStyle w:val="VerbatimChar"/>
        </w:rPr>
        <w:t xml:space="preserve">customers</w:t>
      </w:r>
      <w:r>
        <w:t xml:space="preserve">,</w:t>
      </w:r>
      <w:r>
        <w:t xml:space="preserve"> </w:t>
      </w:r>
      <w:r>
        <w:rPr>
          <w:rStyle w:val="VerbatimChar"/>
        </w:rPr>
        <w:t xml:space="preserve">products</w:t>
      </w:r>
      <w:r>
        <w:t xml:space="preserve">,</w:t>
      </w:r>
      <w:r>
        <w:t xml:space="preserve"> </w:t>
      </w:r>
      <w:r>
        <w:rPr>
          <w:rStyle w:val="VerbatimChar"/>
        </w:rPr>
        <w:t xml:space="preserve">orders</w:t>
      </w:r>
      <w:r>
        <w:t xml:space="preserve">, and</w:t>
      </w:r>
      <w:r>
        <w:t xml:space="preserve"> </w:t>
      </w:r>
      <w:r>
        <w:rPr>
          <w:rStyle w:val="VerbatimChar"/>
        </w:rPr>
        <w:t xml:space="preserve">order_items</w:t>
      </w:r>
      <w:r>
        <w:t xml:space="preserve">. The module discusses why order line items are a separate table rather than a comma-separated list of product IDs stored on the order row — this becomes the anchor example for why first normal form matters (atomic values, no repeating groups within a single column).</w:t>
      </w:r>
    </w:p>
    <w:bookmarkStart w:id="22" w:name="data-types"/>
    <w:p>
      <w:pPr>
        <w:pStyle w:val="Heading3"/>
      </w:pPr>
      <w:r>
        <w:t xml:space="preserve">Data Types</w:t>
      </w:r>
    </w:p>
    <w:p>
      <w:pPr>
        <w:pStyle w:val="FirstParagraph"/>
      </w:pPr>
      <w:r>
        <w:t xml:space="preserve">Coverage of common data types (INTEGER, VARCHAR, TEXT, DECIMAL, TIMESTAMP, BOOLEAN, UUID) and common mistakes: storing monetary values as FLOAT (which introduces rounding errors) instead of DECIMAL, and storing dates as strings instead of a proper DATE or TIMESTAMP type.</w:t>
      </w:r>
    </w:p>
    <w:bookmarkEnd w:id="22"/>
    <w:bookmarkEnd w:id="23"/>
    <w:bookmarkStart w:id="24" w:name="module-2-querying-data"/>
    <w:p>
      <w:pPr>
        <w:pStyle w:val="Heading2"/>
      </w:pPr>
      <w:r>
        <w:t xml:space="preserve">Module 2 — Querying Data</w:t>
      </w:r>
    </w:p>
    <w:p>
      <w:pPr>
        <w:pStyle w:val="FirstParagraph"/>
      </w:pPr>
      <w:r>
        <w:t xml:space="preserve">SELECT statements, WHERE clauses, sorting with ORDER BY, and aggregation with GROUP BY and HAVING.</w:t>
      </w:r>
    </w:p>
    <w:p>
      <w:pPr>
        <w:pStyle w:val="BodyText"/>
      </w:pPr>
      <w:r>
        <w:t xml:space="preserve">Students practice writing increasingly complex single-table queries against the</w:t>
      </w:r>
      <w:r>
        <w:t xml:space="preserve"> </w:t>
      </w:r>
      <w:r>
        <w:rPr>
          <w:rStyle w:val="VerbatimChar"/>
        </w:rPr>
        <w:t xml:space="preserve">orders</w:t>
      </w:r>
      <w:r>
        <w:t xml:space="preserve"> </w:t>
      </w:r>
      <w:r>
        <w:t xml:space="preserve">table: filtering orders by date range, sorting by total amount, and computing aggregate statistics such as total revenue per day using GROUP BY. The distinction between WHERE (filters rows before grouping) and HAVING (filters groups after aggregation) is covered with a worked example that produces incorrect results when the two are confused.</w:t>
      </w:r>
    </w:p>
    <w:bookmarkEnd w:id="24"/>
    <w:bookmarkStart w:id="25" w:name="module-3-joining-tables"/>
    <w:p>
      <w:pPr>
        <w:pStyle w:val="Heading2"/>
      </w:pPr>
      <w:r>
        <w:t xml:space="preserve">Module 3 — Joining Tables</w:t>
      </w:r>
    </w:p>
    <w:p>
      <w:pPr>
        <w:pStyle w:val="FirstParagraph"/>
      </w:pPr>
      <w:r>
        <w:t xml:space="preserve">INNER JOIN, LEFT JOIN, RIGHT JOIN, and self-joins, with practical examples drawn from the order system.</w:t>
      </w:r>
    </w:p>
    <w:p>
      <w:pPr>
        <w:pStyle w:val="BodyText"/>
      </w:pPr>
      <w:r>
        <w:t xml:space="preserve">An INNER JOIN between</w:t>
      </w:r>
      <w:r>
        <w:t xml:space="preserve"> </w:t>
      </w:r>
      <w:r>
        <w:rPr>
          <w:rStyle w:val="VerbatimChar"/>
        </w:rPr>
        <w:t xml:space="preserve">orders</w:t>
      </w:r>
      <w:r>
        <w:t xml:space="preserve"> </w:t>
      </w:r>
      <w:r>
        <w:t xml:space="preserve">and</w:t>
      </w:r>
      <w:r>
        <w:t xml:space="preserve"> </w:t>
      </w:r>
      <w:r>
        <w:rPr>
          <w:rStyle w:val="VerbatimChar"/>
        </w:rPr>
        <w:t xml:space="preserve">customers</w:t>
      </w:r>
      <w:r>
        <w:t xml:space="preserve"> </w:t>
      </w:r>
      <w:r>
        <w:t xml:space="preserve">retrieves only orders that have a matching customer — students discuss why this could silently hide orders with a broken foreign key reference, and why a LEFT JOIN is often the safer default when auditing data integrity. A worked example demonstrates a LEFT JOIN from</w:t>
      </w:r>
      <w:r>
        <w:t xml:space="preserve"> </w:t>
      </w:r>
      <w:r>
        <w:rPr>
          <w:rStyle w:val="VerbatimChar"/>
        </w:rPr>
        <w:t xml:space="preserve">customers</w:t>
      </w:r>
      <w:r>
        <w:t xml:space="preserve"> </w:t>
      </w:r>
      <w:r>
        <w:t xml:space="preserve">to</w:t>
      </w:r>
      <w:r>
        <w:t xml:space="preserve"> </w:t>
      </w:r>
      <w:r>
        <w:rPr>
          <w:rStyle w:val="VerbatimChar"/>
        </w:rPr>
        <w:t xml:space="preserve">orders</w:t>
      </w:r>
      <w:r>
        <w:t xml:space="preserve"> </w:t>
      </w:r>
      <w:r>
        <w:t xml:space="preserve">to identify customers who have never placed an order (where the joined order columns are NULL).</w:t>
      </w:r>
    </w:p>
    <w:p>
      <w:pPr>
        <w:pStyle w:val="BodyText"/>
      </w:pPr>
      <w:r>
        <w:t xml:space="preserve">Self-joins are introduced using a simplified employee-manager hierarchy as a secondary example, since the order system does not naturally contain a self-referential relationship.</w:t>
      </w:r>
    </w:p>
    <w:bookmarkEnd w:id="25"/>
    <w:bookmarkStart w:id="26" w:name="module-4-data-modification"/>
    <w:p>
      <w:pPr>
        <w:pStyle w:val="Heading2"/>
      </w:pPr>
      <w:r>
        <w:t xml:space="preserve">Module 4 — Data Modification</w:t>
      </w:r>
    </w:p>
    <w:p>
      <w:pPr>
        <w:pStyle w:val="FirstParagraph"/>
      </w:pPr>
      <w:r>
        <w:t xml:space="preserve">INSERT, UPDATE, DELETE, and transactions (BEGIN, COMMIT, ROLLBACK).</w:t>
      </w:r>
    </w:p>
    <w:p>
      <w:pPr>
        <w:pStyle w:val="BodyText"/>
      </w:pPr>
      <w:r>
        <w:t xml:space="preserve">This module emphasizes that UPDATE and DELETE statements without a WHERE clause affect every row in the table — a mistake responsible for a disproportionate share of real production incidents. Students practice writing modification statements in a sandbox that requires an explicit WHERE clause to be present before execution, as a deliberately reinforced habit.</w:t>
      </w:r>
    </w:p>
    <w:p>
      <w:pPr>
        <w:pStyle w:val="BodyText"/>
      </w:pPr>
      <w:r>
        <w:t xml:space="preserve">Transactions are introduced through a worked example: placing an order requires both inserting a row into</w:t>
      </w:r>
      <w:r>
        <w:t xml:space="preserve"> </w:t>
      </w:r>
      <w:r>
        <w:rPr>
          <w:rStyle w:val="VerbatimChar"/>
        </w:rPr>
        <w:t xml:space="preserve">orders</w:t>
      </w:r>
      <w:r>
        <w:t xml:space="preserve"> </w:t>
      </w:r>
      <w:r>
        <w:t xml:space="preserve">and decrementing the corresponding</w:t>
      </w:r>
      <w:r>
        <w:t xml:space="preserve"> </w:t>
      </w:r>
      <w:r>
        <w:rPr>
          <w:rStyle w:val="VerbatimChar"/>
        </w:rPr>
        <w:t xml:space="preserve">products.stock_quantity</w:t>
      </w:r>
      <w:r>
        <w:t xml:space="preserve"> </w:t>
      </w:r>
      <w:r>
        <w:t xml:space="preserve">value. If the stock decrement fails after the order insert has already committed, the system would show stock levels inconsistent with actual outstanding orders. Wrapping both statements in a single transaction ensures that either both succeed or neither does.</w:t>
      </w:r>
    </w:p>
    <w:bookmarkEnd w:id="26"/>
    <w:bookmarkStart w:id="27" w:name="module-5-schema-design"/>
    <w:p>
      <w:pPr>
        <w:pStyle w:val="Heading2"/>
      </w:pPr>
      <w:r>
        <w:t xml:space="preserve">Module 5 — Schema Design</w:t>
      </w:r>
    </w:p>
    <w:p>
      <w:pPr>
        <w:pStyle w:val="FirstParagraph"/>
      </w:pPr>
      <w:r>
        <w:t xml:space="preserve">Normalization through third normal form, denormalization tradeoffs, and indexing basics.</w:t>
      </w:r>
    </w:p>
    <w:p>
      <w:pPr>
        <w:pStyle w:val="BodyText"/>
      </w:pPr>
      <w:r>
        <w:t xml:space="preserve">Students take a deliberately poorly normalized version of the order schema (with customer name and address duplicated on every order row) and normalize it step by step, discussing at each step what redundancy is eliminated and what update anomaly is prevented. The module then discusses a realistic scenario where a denormalized</w:t>
      </w:r>
      <w:r>
        <w:t xml:space="preserve"> </w:t>
      </w:r>
      <w:r>
        <w:t xml:space="preserve">“</w:t>
      </w:r>
      <w:r>
        <w:t xml:space="preserve">materialized</w:t>
      </w:r>
      <w:r>
        <w:t xml:space="preserve">”</w:t>
      </w:r>
      <w:r>
        <w:t xml:space="preserve"> </w:t>
      </w:r>
      <w:r>
        <w:t xml:space="preserve">reporting table is justified for performance reasons, provided the tradeoff (data can become stale until the table is refreshed) is explicitly documented rather than accidental.</w:t>
      </w:r>
    </w:p>
    <w:p>
      <w:pPr>
        <w:pStyle w:val="BodyText"/>
      </w:pPr>
      <w:r>
        <w:t xml:space="preserve">Indexing basics cover when to add an index (columns frequently used in WHERE clauses or JOIN conditions) and the tradeoff that every index speeds up reads but slows down writes, since the index itself must be updated on every INSERT/UPDATE/DELETE affecting the indexed column.</w:t>
      </w:r>
    </w:p>
    <w:bookmarkEnd w:id="27"/>
    <w:bookmarkStart w:id="28" w:name="module-6-query-performance"/>
    <w:p>
      <w:pPr>
        <w:pStyle w:val="Heading2"/>
      </w:pPr>
      <w:r>
        <w:t xml:space="preserve">Module 6 — Query Performance</w:t>
      </w:r>
    </w:p>
    <w:p>
      <w:pPr>
        <w:pStyle w:val="FirstParagraph"/>
      </w:pPr>
      <w:r>
        <w:t xml:space="preserve">Reading a basic query execution plan (EXPLAIN), common anti-patterns, and basic tuning.</w:t>
      </w:r>
    </w:p>
    <w:p>
      <w:pPr>
        <w:pStyle w:val="BodyText"/>
      </w:pPr>
      <w:r>
        <w:t xml:space="preserve">Common anti-patterns covered: the N+1 query problem (issuing one query to fetch a list, then one additional query per item to fetch related data, instead of a single JOIN or batched query), missing indexes on foreign key columns, and using</w:t>
      </w:r>
      <w:r>
        <w:t xml:space="preserve"> </w:t>
      </w:r>
      <w:r>
        <w:rPr>
          <w:rStyle w:val="VerbatimChar"/>
        </w:rPr>
        <w:t xml:space="preserve">SELECT *</w:t>
      </w:r>
      <w:r>
        <w:t xml:space="preserve"> </w:t>
      </w:r>
      <w:r>
        <w:t xml:space="preserve">in application code when only a few columns are actually needed.</w:t>
      </w:r>
    </w:p>
    <w:p>
      <w:pPr>
        <w:pStyle w:val="BodyText"/>
      </w:pPr>
      <w:r>
        <w:t xml:space="preserve">Students are given a deliberately slow query against a seeded table of 100,000 order rows, asked to read its EXPLAIN output to identify that it is performing a full table scan, and then asked to add an appropriate index and re-run EXPLAIN to confirm the query now uses an index scan instead.</w:t>
      </w:r>
    </w:p>
    <w:bookmarkEnd w:id="28"/>
    <w:bookmarkStart w:id="29" w:name="grading"/>
    <w:p>
      <w:pPr>
        <w:pStyle w:val="Heading2"/>
      </w:pPr>
      <w:r>
        <w:t xml:space="preserve">Grading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Weight</w:t>
            </w:r>
          </w:p>
        </w:tc>
      </w:tr>
      <w:tr>
        <w:tc>
          <w:tcPr/>
          <w:p>
            <w:pPr>
              <w:pStyle w:val="Compact"/>
              <w:jc w:val="left"/>
            </w:pPr>
            <w:r>
              <w:t xml:space="preserve">Lab exercises (one per module)</w:t>
            </w:r>
          </w:p>
        </w:tc>
        <w:tc>
          <w:tcPr/>
          <w:p>
            <w:pPr>
              <w:pStyle w:val="Compact"/>
              <w:jc w:val="left"/>
            </w:pPr>
            <w:r>
              <w:t xml:space="preserve">40%</w:t>
            </w:r>
          </w:p>
        </w:tc>
      </w:tr>
      <w:tr>
        <w:tc>
          <w:tcPr/>
          <w:p>
            <w:pPr>
              <w:pStyle w:val="Compact"/>
              <w:jc w:val="left"/>
            </w:pPr>
            <w:r>
              <w:t xml:space="preserve">Schema design project (normalize a provided messy schema)</w:t>
            </w:r>
          </w:p>
        </w:tc>
        <w:tc>
          <w:tcPr/>
          <w:p>
            <w:pPr>
              <w:pStyle w:val="Compact"/>
              <w:jc w:val="left"/>
            </w:pPr>
            <w:r>
              <w:t xml:space="preserve">25%</w:t>
            </w:r>
          </w:p>
        </w:tc>
      </w:tr>
      <w:tr>
        <w:tc>
          <w:tcPr/>
          <w:p>
            <w:pPr>
              <w:pStyle w:val="Compact"/>
              <w:jc w:val="left"/>
            </w:pPr>
            <w:r>
              <w:t xml:space="preserve">Final query optimization assignment (diagnose and fix three slow queries)</w:t>
            </w:r>
          </w:p>
        </w:tc>
        <w:tc>
          <w:tcPr/>
          <w:p>
            <w:pPr>
              <w:pStyle w:val="Compact"/>
              <w:jc w:val="left"/>
            </w:pPr>
            <w:r>
              <w:t xml:space="preserve">35%</w:t>
            </w:r>
          </w:p>
        </w:tc>
      </w:tr>
    </w:tbl>
    <w:bookmarkEnd w:id="29"/>
    <w:bookmarkStart w:id="30" w:name="notes"/>
    <w:p>
      <w:pPr>
        <w:pStyle w:val="Heading2"/>
      </w:pPr>
      <w:r>
        <w:t xml:space="preserve">Notes</w:t>
      </w:r>
    </w:p>
    <w:p>
      <w:pPr>
        <w:pStyle w:val="FirstParagraph"/>
      </w:pPr>
      <w:r>
        <w:t xml:space="preserve">This course assumes access to a Postgres instance; setup instructions and the seeded order-system dataset are provided separately as a Docker Compose file so every student works against identical data.</w:t>
      </w:r>
    </w:p>
    <w:bookmarkEnd w:id="30"/>
    <w:bookmarkStart w:id="31" w:name="Xb7a8b4e26f23732f3f315c98a73cf099513ff23"/>
    <w:p>
      <w:pPr>
        <w:pStyle w:val="Heading2"/>
      </w:pPr>
      <w:r>
        <w:t xml:space="preserve">Common Mistakes Instructors Should Watch For</w:t>
      </w:r>
    </w:p>
    <w:p>
      <w:pPr>
        <w:pStyle w:val="FirstParagraph"/>
      </w:pPr>
      <w:r>
        <w:t xml:space="preserve">The most frequent mistakes seen in prior cohorts are: forgetting a WHERE clause on UPDATE/DELETE statements during the lab exercises, confusing INNER JOIN and LEFT JOIN semantics when auditing for missing relationships, and over-normalizing the schema design project to the point where nearly every query requires four or more joins to answer a simple business question.</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2026-09-11T23:06:17Z</dcterms:created>
  <dcterms:modified xsi:type="dcterms:W3CDTF">2026-09-11T23:06:17Z</dcterms:modified>
</cp:coreProperties>
</file>

<file path=docProps/custom.xml><?xml version="1.0" encoding="utf-8"?>
<Properties xmlns="http://schemas.openxmlformats.org/officeDocument/2006/custom-properties" xmlns:vt="http://schemas.openxmlformats.org/officeDocument/2006/docPropsVTypes"/>
</file>