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6D796" w14:textId="77777777" w:rsidR="00254BBC" w:rsidRDefault="006122C5" w:rsidP="006122C5">
      <w:pPr>
        <w:spacing w:line="240" w:lineRule="auto"/>
        <w:ind w:firstLine="720"/>
        <w:rPr>
          <w:rFonts w:asciiTheme="majorBidi" w:hAnsiTheme="majorBidi" w:cstheme="majorBidi"/>
          <w:sz w:val="24"/>
          <w:szCs w:val="24"/>
        </w:rPr>
      </w:pPr>
      <w:r>
        <w:rPr>
          <w:rFonts w:asciiTheme="majorBidi" w:hAnsiTheme="majorBidi" w:cstheme="majorBidi"/>
          <w:sz w:val="24"/>
          <w:szCs w:val="24"/>
        </w:rPr>
        <w:t xml:space="preserve">   </w:t>
      </w:r>
    </w:p>
    <w:p w14:paraId="31E7B0C2" w14:textId="77777777" w:rsidR="00254BBC" w:rsidRDefault="00254BBC" w:rsidP="006122C5">
      <w:pPr>
        <w:spacing w:line="240" w:lineRule="auto"/>
        <w:ind w:firstLine="720"/>
        <w:rPr>
          <w:rFonts w:asciiTheme="majorBidi" w:hAnsiTheme="majorBidi" w:cstheme="majorBidi"/>
          <w:sz w:val="24"/>
          <w:szCs w:val="24"/>
        </w:rPr>
      </w:pPr>
    </w:p>
    <w:p w14:paraId="39977640" w14:textId="77777777" w:rsidR="00254BBC" w:rsidRDefault="00254BBC" w:rsidP="006122C5">
      <w:pPr>
        <w:spacing w:line="240" w:lineRule="auto"/>
        <w:ind w:firstLine="720"/>
        <w:rPr>
          <w:rFonts w:asciiTheme="majorBidi" w:hAnsiTheme="majorBidi" w:cstheme="majorBidi"/>
          <w:sz w:val="24"/>
          <w:szCs w:val="24"/>
        </w:rPr>
      </w:pPr>
    </w:p>
    <w:p w14:paraId="5BD30DD8" w14:textId="77777777" w:rsidR="00254BBC" w:rsidRDefault="00254BBC" w:rsidP="006122C5">
      <w:pPr>
        <w:spacing w:line="240" w:lineRule="auto"/>
        <w:ind w:firstLine="720"/>
        <w:rPr>
          <w:rFonts w:asciiTheme="majorBidi" w:hAnsiTheme="majorBidi" w:cstheme="majorBidi"/>
          <w:sz w:val="24"/>
          <w:szCs w:val="24"/>
        </w:rPr>
      </w:pPr>
    </w:p>
    <w:p w14:paraId="4F381473" w14:textId="77777777" w:rsidR="00254BBC" w:rsidRDefault="00254BBC" w:rsidP="006122C5">
      <w:pPr>
        <w:spacing w:line="240" w:lineRule="auto"/>
        <w:ind w:firstLine="720"/>
        <w:rPr>
          <w:rFonts w:asciiTheme="majorBidi" w:hAnsiTheme="majorBidi" w:cstheme="majorBidi"/>
          <w:sz w:val="24"/>
          <w:szCs w:val="24"/>
        </w:rPr>
      </w:pPr>
    </w:p>
    <w:p w14:paraId="71499C16" w14:textId="77777777" w:rsidR="00254BBC" w:rsidRDefault="00254BBC" w:rsidP="006122C5">
      <w:pPr>
        <w:spacing w:line="240" w:lineRule="auto"/>
        <w:ind w:firstLine="720"/>
        <w:rPr>
          <w:rFonts w:asciiTheme="majorBidi" w:hAnsiTheme="majorBidi" w:cstheme="majorBidi"/>
          <w:sz w:val="24"/>
          <w:szCs w:val="24"/>
        </w:rPr>
      </w:pPr>
    </w:p>
    <w:p w14:paraId="151CBA76" w14:textId="440C2DCC" w:rsidR="00511D9B" w:rsidRDefault="00511D9B" w:rsidP="00511D9B">
      <w:pPr>
        <w:spacing w:line="240" w:lineRule="auto"/>
        <w:rPr>
          <w:rFonts w:asciiTheme="majorBidi" w:hAnsiTheme="majorBidi" w:cstheme="majorBidi"/>
          <w:sz w:val="24"/>
          <w:szCs w:val="24"/>
        </w:rPr>
      </w:pPr>
    </w:p>
    <w:p w14:paraId="0A29F792" w14:textId="77777777" w:rsidR="00511D9B" w:rsidRDefault="00511D9B" w:rsidP="00511D9B">
      <w:pPr>
        <w:spacing w:line="480" w:lineRule="auto"/>
        <w:ind w:firstLine="720"/>
        <w:jc w:val="center"/>
        <w:rPr>
          <w:rFonts w:asciiTheme="majorBidi" w:hAnsiTheme="majorBidi" w:cstheme="majorBidi"/>
          <w:sz w:val="24"/>
          <w:szCs w:val="24"/>
        </w:rPr>
      </w:pPr>
    </w:p>
    <w:p w14:paraId="6BC6A59B" w14:textId="77777777" w:rsidR="00511D9B" w:rsidRPr="00511D9B" w:rsidRDefault="00511D9B" w:rsidP="00511D9B">
      <w:pPr>
        <w:spacing w:after="0" w:line="480" w:lineRule="auto"/>
        <w:contextualSpacing/>
        <w:jc w:val="center"/>
        <w:rPr>
          <w:rFonts w:asciiTheme="majorBidi" w:hAnsiTheme="majorBidi" w:cstheme="majorBidi"/>
          <w:color w:val="000000" w:themeColor="text1"/>
          <w:sz w:val="24"/>
          <w:szCs w:val="24"/>
        </w:rPr>
      </w:pPr>
      <w:r w:rsidRPr="00511D9B">
        <w:rPr>
          <w:rFonts w:asciiTheme="majorBidi" w:hAnsiTheme="majorBidi" w:cstheme="majorBidi"/>
          <w:sz w:val="24"/>
          <w:szCs w:val="24"/>
        </w:rPr>
        <w:t>Alaa Al Saad</w:t>
      </w:r>
      <w:r w:rsidRPr="00511D9B">
        <w:rPr>
          <w:rFonts w:asciiTheme="majorBidi" w:hAnsiTheme="majorBidi" w:cstheme="majorBidi"/>
          <w:color w:val="000000" w:themeColor="text1"/>
          <w:sz w:val="24"/>
          <w:szCs w:val="24"/>
        </w:rPr>
        <w:t xml:space="preserve"> </w:t>
      </w:r>
    </w:p>
    <w:p w14:paraId="6D651BF5" w14:textId="72B77E09" w:rsidR="00511D9B" w:rsidRPr="00511D9B" w:rsidRDefault="00511D9B" w:rsidP="00511D9B">
      <w:pPr>
        <w:spacing w:after="0" w:line="480" w:lineRule="auto"/>
        <w:contextualSpacing/>
        <w:rPr>
          <w:rFonts w:asciiTheme="majorBidi" w:hAnsiTheme="majorBidi" w:cstheme="majorBidi"/>
          <w:color w:val="000000" w:themeColor="text1"/>
          <w:sz w:val="24"/>
          <w:szCs w:val="24"/>
        </w:rPr>
      </w:pPr>
      <w:r w:rsidRPr="00511D9B">
        <w:rPr>
          <w:rFonts w:asciiTheme="majorBidi" w:hAnsiTheme="majorBidi" w:cstheme="majorBidi"/>
          <w:color w:val="000000" w:themeColor="text1"/>
          <w:sz w:val="24"/>
          <w:szCs w:val="24"/>
        </w:rPr>
        <w:t xml:space="preserve">                                                 Illinois </w:t>
      </w:r>
      <w:r>
        <w:rPr>
          <w:rFonts w:asciiTheme="majorBidi" w:hAnsiTheme="majorBidi" w:cstheme="majorBidi"/>
          <w:color w:val="000000" w:themeColor="text1"/>
          <w:sz w:val="24"/>
          <w:szCs w:val="24"/>
        </w:rPr>
        <w:t>I</w:t>
      </w:r>
      <w:r w:rsidRPr="00511D9B">
        <w:rPr>
          <w:rFonts w:asciiTheme="majorBidi" w:hAnsiTheme="majorBidi" w:cstheme="majorBidi"/>
          <w:color w:val="000000" w:themeColor="text1"/>
          <w:sz w:val="24"/>
          <w:szCs w:val="24"/>
        </w:rPr>
        <w:t xml:space="preserve">nstitute of </w:t>
      </w:r>
      <w:r>
        <w:rPr>
          <w:rFonts w:asciiTheme="majorBidi" w:hAnsiTheme="majorBidi" w:cstheme="majorBidi"/>
          <w:color w:val="000000" w:themeColor="text1"/>
          <w:sz w:val="24"/>
          <w:szCs w:val="24"/>
        </w:rPr>
        <w:t>T</w:t>
      </w:r>
      <w:r w:rsidRPr="00511D9B">
        <w:rPr>
          <w:rFonts w:asciiTheme="majorBidi" w:hAnsiTheme="majorBidi" w:cstheme="majorBidi"/>
          <w:color w:val="000000" w:themeColor="text1"/>
          <w:sz w:val="24"/>
          <w:szCs w:val="24"/>
        </w:rPr>
        <w:t>echnology</w:t>
      </w:r>
    </w:p>
    <w:p w14:paraId="5AEE739F" w14:textId="46949A38" w:rsidR="00511D9B" w:rsidRPr="00511D9B" w:rsidRDefault="00511D9B" w:rsidP="00511D9B">
      <w:pPr>
        <w:spacing w:line="480" w:lineRule="auto"/>
        <w:ind w:firstLine="720"/>
        <w:rPr>
          <w:rFonts w:asciiTheme="majorBidi" w:hAnsiTheme="majorBidi" w:cstheme="majorBidi"/>
          <w:sz w:val="24"/>
          <w:szCs w:val="24"/>
        </w:rPr>
      </w:pPr>
      <w:r w:rsidRPr="00511D9B">
        <w:rPr>
          <w:rFonts w:asciiTheme="majorBidi" w:hAnsiTheme="majorBidi" w:cstheme="majorBidi"/>
          <w:sz w:val="24"/>
          <w:szCs w:val="24"/>
        </w:rPr>
        <w:t xml:space="preserve">                          </w:t>
      </w:r>
      <w:r>
        <w:rPr>
          <w:rFonts w:asciiTheme="majorBidi" w:hAnsiTheme="majorBidi" w:cstheme="majorBidi"/>
          <w:sz w:val="24"/>
          <w:szCs w:val="24"/>
        </w:rPr>
        <w:t>I</w:t>
      </w:r>
      <w:r w:rsidRPr="00511D9B">
        <w:rPr>
          <w:rFonts w:asciiTheme="majorBidi" w:hAnsiTheme="majorBidi" w:cstheme="majorBidi"/>
          <w:sz w:val="24"/>
          <w:szCs w:val="24"/>
        </w:rPr>
        <w:t xml:space="preserve">nformation </w:t>
      </w:r>
      <w:r>
        <w:rPr>
          <w:rFonts w:asciiTheme="majorBidi" w:hAnsiTheme="majorBidi" w:cstheme="majorBidi"/>
          <w:sz w:val="24"/>
          <w:szCs w:val="24"/>
        </w:rPr>
        <w:t>T</w:t>
      </w:r>
      <w:r w:rsidRPr="00511D9B">
        <w:rPr>
          <w:rFonts w:asciiTheme="majorBidi" w:hAnsiTheme="majorBidi" w:cstheme="majorBidi"/>
          <w:sz w:val="24"/>
          <w:szCs w:val="24"/>
        </w:rPr>
        <w:t xml:space="preserve">echnology </w:t>
      </w:r>
      <w:r>
        <w:rPr>
          <w:rFonts w:asciiTheme="majorBidi" w:hAnsiTheme="majorBidi" w:cstheme="majorBidi"/>
          <w:sz w:val="24"/>
          <w:szCs w:val="24"/>
        </w:rPr>
        <w:t>A</w:t>
      </w:r>
      <w:r w:rsidRPr="00511D9B">
        <w:rPr>
          <w:rFonts w:asciiTheme="majorBidi" w:hAnsiTheme="majorBidi" w:cstheme="majorBidi"/>
          <w:sz w:val="24"/>
          <w:szCs w:val="24"/>
        </w:rPr>
        <w:t>uditing</w:t>
      </w:r>
      <w:r w:rsidRPr="00511D9B">
        <w:rPr>
          <w:rFonts w:asciiTheme="majorBidi" w:hAnsiTheme="majorBidi" w:cstheme="majorBidi"/>
          <w:color w:val="000000" w:themeColor="text1"/>
          <w:sz w:val="24"/>
          <w:szCs w:val="24"/>
        </w:rPr>
        <w:t>/</w:t>
      </w:r>
      <w:r w:rsidRPr="00511D9B">
        <w:rPr>
          <w:rFonts w:asciiTheme="majorBidi" w:hAnsiTheme="majorBidi" w:cstheme="majorBidi"/>
          <w:sz w:val="24"/>
          <w:szCs w:val="24"/>
        </w:rPr>
        <w:t xml:space="preserve"> ITMM 586</w:t>
      </w:r>
    </w:p>
    <w:p w14:paraId="1FB7467F" w14:textId="473859DE" w:rsidR="00511D9B" w:rsidRPr="00511D9B" w:rsidRDefault="00511D9B" w:rsidP="00511D9B">
      <w:pPr>
        <w:spacing w:line="480" w:lineRule="auto"/>
        <w:ind w:firstLine="720"/>
        <w:rPr>
          <w:rFonts w:asciiTheme="majorBidi" w:hAnsiTheme="majorBidi" w:cstheme="majorBidi"/>
          <w:sz w:val="24"/>
          <w:szCs w:val="24"/>
        </w:rPr>
      </w:pPr>
      <w:r>
        <w:rPr>
          <w:rFonts w:asciiTheme="majorBidi" w:hAnsiTheme="majorBidi" w:cstheme="majorBidi"/>
          <w:caps/>
          <w:sz w:val="24"/>
          <w:szCs w:val="24"/>
          <w:shd w:val="clear" w:color="auto" w:fill="FFFFFF"/>
        </w:rPr>
        <w:t xml:space="preserve">                                                   </w:t>
      </w:r>
      <w:r w:rsidRPr="00511D9B">
        <w:rPr>
          <w:rFonts w:asciiTheme="majorBidi" w:hAnsiTheme="majorBidi" w:cstheme="majorBidi"/>
          <w:caps/>
          <w:sz w:val="24"/>
          <w:szCs w:val="24"/>
          <w:shd w:val="clear" w:color="auto" w:fill="FFFFFF"/>
        </w:rPr>
        <w:t>IT</w:t>
      </w:r>
      <w:r>
        <w:rPr>
          <w:rFonts w:asciiTheme="majorBidi" w:hAnsiTheme="majorBidi" w:cstheme="majorBidi"/>
          <w:caps/>
          <w:sz w:val="24"/>
          <w:szCs w:val="24"/>
          <w:shd w:val="clear" w:color="auto" w:fill="FFFFFF"/>
        </w:rPr>
        <w:t xml:space="preserve"> </w:t>
      </w:r>
      <w:r>
        <w:rPr>
          <w:rFonts w:asciiTheme="majorBidi" w:hAnsiTheme="majorBidi" w:cstheme="majorBidi"/>
          <w:sz w:val="24"/>
          <w:szCs w:val="24"/>
        </w:rPr>
        <w:t>Management</w:t>
      </w:r>
    </w:p>
    <w:p w14:paraId="2A88587A" w14:textId="0F389746" w:rsidR="00511D9B" w:rsidRDefault="00511D9B" w:rsidP="00511D9B">
      <w:pPr>
        <w:spacing w:after="0" w:line="480" w:lineRule="auto"/>
        <w:contextualSpacing/>
        <w:rPr>
          <w:rFonts w:asciiTheme="majorBidi" w:hAnsiTheme="majorBidi" w:cstheme="majorBidi"/>
          <w:sz w:val="24"/>
          <w:szCs w:val="24"/>
        </w:rPr>
      </w:pPr>
      <w:r>
        <w:rPr>
          <w:rFonts w:asciiTheme="majorBidi" w:hAnsiTheme="majorBidi" w:cstheme="majorBidi"/>
          <w:sz w:val="24"/>
          <w:szCs w:val="24"/>
        </w:rPr>
        <w:t xml:space="preserve">                                                                  </w:t>
      </w:r>
      <w:r w:rsidRPr="00511D9B">
        <w:rPr>
          <w:rFonts w:asciiTheme="majorBidi" w:hAnsiTheme="majorBidi" w:cstheme="majorBidi"/>
          <w:sz w:val="24"/>
          <w:szCs w:val="24"/>
        </w:rPr>
        <w:t>09/13/2023</w:t>
      </w:r>
    </w:p>
    <w:p w14:paraId="7B32E810" w14:textId="77777777" w:rsidR="00610A04" w:rsidRPr="00610A04" w:rsidRDefault="00610A04" w:rsidP="00610A04">
      <w:pPr>
        <w:spacing w:after="0" w:line="240" w:lineRule="auto"/>
        <w:rPr>
          <w:rFonts w:ascii="Times New Roman" w:eastAsia="Times New Roman" w:hAnsi="Times New Roman" w:cs="Times New Roman"/>
          <w:sz w:val="24"/>
          <w:szCs w:val="24"/>
        </w:rPr>
      </w:pPr>
      <w:r w:rsidRPr="00610A04">
        <w:rPr>
          <w:rFonts w:ascii="Open Sans" w:eastAsia="Times New Roman" w:hAnsi="Open Sans" w:cs="Open Sans"/>
          <w:b/>
          <w:bCs/>
          <w:color w:val="000000"/>
          <w:sz w:val="19"/>
          <w:szCs w:val="19"/>
          <w:bdr w:val="none" w:sz="0" w:space="0" w:color="auto" w:frame="1"/>
          <w:shd w:val="clear" w:color="auto" w:fill="EEEEEE"/>
        </w:rPr>
        <w:t>Feedback to Learner</w:t>
      </w:r>
      <w:r w:rsidRPr="00610A04">
        <w:rPr>
          <w:rFonts w:ascii="Open Sans" w:eastAsia="Times New Roman" w:hAnsi="Open Sans" w:cs="Open Sans"/>
          <w:color w:val="6C6C6C"/>
          <w:sz w:val="17"/>
          <w:szCs w:val="17"/>
          <w:bdr w:val="none" w:sz="0" w:space="0" w:color="auto" w:frame="1"/>
          <w:shd w:val="clear" w:color="auto" w:fill="EEEEEE"/>
        </w:rPr>
        <w:t>9/24/23 11:50 AM</w:t>
      </w:r>
    </w:p>
    <w:p w14:paraId="6AFDA03A" w14:textId="77777777" w:rsidR="00610A04" w:rsidRPr="00610A04" w:rsidRDefault="00610A04" w:rsidP="00610A04">
      <w:pPr>
        <w:shd w:val="clear" w:color="auto" w:fill="EEEEEE"/>
        <w:spacing w:after="240" w:line="300" w:lineRule="atLeast"/>
        <w:rPr>
          <w:rFonts w:ascii="Arial" w:eastAsia="Times New Roman" w:hAnsi="Arial" w:cs="Arial"/>
          <w:color w:val="111111"/>
          <w:sz w:val="20"/>
          <w:szCs w:val="20"/>
        </w:rPr>
      </w:pPr>
      <w:r w:rsidRPr="00610A04">
        <w:rPr>
          <w:rFonts w:ascii="Arial" w:eastAsia="Times New Roman" w:hAnsi="Arial" w:cs="Arial"/>
          <w:color w:val="111111"/>
          <w:sz w:val="20"/>
          <w:szCs w:val="20"/>
        </w:rPr>
        <w:t>Excellent work!! You have well analyzed the Andersen case study, by examining their actions from an ethical lens.</w:t>
      </w:r>
      <w:r w:rsidRPr="00610A04">
        <w:rPr>
          <w:rFonts w:ascii="Arial" w:eastAsia="Times New Roman" w:hAnsi="Arial" w:cs="Arial"/>
          <w:color w:val="111111"/>
          <w:sz w:val="20"/>
          <w:szCs w:val="20"/>
        </w:rPr>
        <w:br/>
      </w:r>
      <w:r w:rsidRPr="00610A04">
        <w:rPr>
          <w:rFonts w:ascii="Arial" w:eastAsia="Times New Roman" w:hAnsi="Arial" w:cs="Arial"/>
          <w:color w:val="111111"/>
          <w:sz w:val="20"/>
          <w:szCs w:val="20"/>
        </w:rPr>
        <w:br/>
        <w:t>Indeed, Andersen did violate several code of ethics published by professional organizations. Makes one wonder how such very obvious practices could have been overlooked.</w:t>
      </w:r>
      <w:r w:rsidRPr="00610A04">
        <w:rPr>
          <w:rFonts w:ascii="Arial" w:eastAsia="Times New Roman" w:hAnsi="Arial" w:cs="Arial"/>
          <w:color w:val="111111"/>
          <w:sz w:val="20"/>
          <w:szCs w:val="20"/>
        </w:rPr>
        <w:br/>
      </w:r>
      <w:r w:rsidRPr="00610A04">
        <w:rPr>
          <w:rFonts w:ascii="Arial" w:eastAsia="Times New Roman" w:hAnsi="Arial" w:cs="Arial"/>
          <w:color w:val="111111"/>
          <w:sz w:val="20"/>
          <w:szCs w:val="20"/>
        </w:rPr>
        <w:br/>
        <w:t>I especially liked your perspective on the breach of integrity and independence.</w:t>
      </w:r>
      <w:r w:rsidRPr="00610A04">
        <w:rPr>
          <w:rFonts w:ascii="Arial" w:eastAsia="Times New Roman" w:hAnsi="Arial" w:cs="Arial"/>
          <w:color w:val="111111"/>
          <w:sz w:val="20"/>
          <w:szCs w:val="20"/>
        </w:rPr>
        <w:br/>
      </w:r>
      <w:r w:rsidRPr="00610A04">
        <w:rPr>
          <w:rFonts w:ascii="Arial" w:eastAsia="Times New Roman" w:hAnsi="Arial" w:cs="Arial"/>
          <w:color w:val="111111"/>
          <w:sz w:val="20"/>
          <w:szCs w:val="20"/>
        </w:rPr>
        <w:br/>
        <w:t xml:space="preserve">The legal-ethical dilemma for businesses is very real, and this case study is intended to </w:t>
      </w:r>
      <w:proofErr w:type="spellStart"/>
      <w:r w:rsidRPr="00610A04">
        <w:rPr>
          <w:rFonts w:ascii="Arial" w:eastAsia="Times New Roman" w:hAnsi="Arial" w:cs="Arial"/>
          <w:color w:val="111111"/>
          <w:sz w:val="20"/>
          <w:szCs w:val="20"/>
        </w:rPr>
        <w:t>hightlight</w:t>
      </w:r>
      <w:proofErr w:type="spellEnd"/>
      <w:r w:rsidRPr="00610A04">
        <w:rPr>
          <w:rFonts w:ascii="Arial" w:eastAsia="Times New Roman" w:hAnsi="Arial" w:cs="Arial"/>
          <w:color w:val="111111"/>
          <w:sz w:val="20"/>
          <w:szCs w:val="20"/>
        </w:rPr>
        <w:t xml:space="preserve"> this.</w:t>
      </w:r>
      <w:r w:rsidRPr="00610A04">
        <w:rPr>
          <w:rFonts w:ascii="Arial" w:eastAsia="Times New Roman" w:hAnsi="Arial" w:cs="Arial"/>
          <w:color w:val="111111"/>
          <w:sz w:val="20"/>
          <w:szCs w:val="20"/>
        </w:rPr>
        <w:br/>
      </w:r>
      <w:r w:rsidRPr="00610A04">
        <w:rPr>
          <w:rFonts w:ascii="Arial" w:eastAsia="Times New Roman" w:hAnsi="Arial" w:cs="Arial"/>
          <w:color w:val="111111"/>
          <w:sz w:val="20"/>
          <w:szCs w:val="20"/>
        </w:rPr>
        <w:br/>
        <w:t>Well done on question 2 as well. Your analysis of potential changes to the COBIT standards is thought-provoking. As IT Audit professionals, our role is to always be on the look-out for emerging technologies, and critically examine the status-quo with respect to standards, best-practices, and guidelines.</w:t>
      </w:r>
      <w:r w:rsidRPr="00610A04">
        <w:rPr>
          <w:rFonts w:ascii="Arial" w:eastAsia="Times New Roman" w:hAnsi="Arial" w:cs="Arial"/>
          <w:color w:val="111111"/>
          <w:sz w:val="20"/>
          <w:szCs w:val="20"/>
        </w:rPr>
        <w:br/>
      </w:r>
      <w:r w:rsidRPr="00610A04">
        <w:rPr>
          <w:rFonts w:ascii="Arial" w:eastAsia="Times New Roman" w:hAnsi="Arial" w:cs="Arial"/>
          <w:color w:val="111111"/>
          <w:sz w:val="20"/>
          <w:szCs w:val="20"/>
        </w:rPr>
        <w:br/>
        <w:t>Keep up the good work.</w:t>
      </w:r>
    </w:p>
    <w:p w14:paraId="76E39589" w14:textId="77777777" w:rsidR="00610A04" w:rsidRPr="00511D9B" w:rsidRDefault="00610A04" w:rsidP="00511D9B">
      <w:pPr>
        <w:spacing w:after="0" w:line="480" w:lineRule="auto"/>
        <w:contextualSpacing/>
        <w:rPr>
          <w:rFonts w:asciiTheme="majorBidi" w:hAnsiTheme="majorBidi" w:cstheme="majorBidi"/>
          <w:color w:val="000000" w:themeColor="text1"/>
          <w:sz w:val="24"/>
          <w:szCs w:val="24"/>
        </w:rPr>
      </w:pPr>
    </w:p>
    <w:p w14:paraId="690D3F80" w14:textId="77777777" w:rsidR="00254BBC" w:rsidRDefault="00254BBC" w:rsidP="00511D9B">
      <w:pPr>
        <w:spacing w:line="480" w:lineRule="auto"/>
        <w:ind w:firstLine="720"/>
        <w:rPr>
          <w:rFonts w:asciiTheme="majorBidi" w:hAnsiTheme="majorBidi" w:cstheme="majorBidi"/>
          <w:sz w:val="24"/>
          <w:szCs w:val="24"/>
        </w:rPr>
      </w:pPr>
    </w:p>
    <w:p w14:paraId="7FC42180" w14:textId="77777777" w:rsidR="00254BBC" w:rsidRDefault="00254BBC" w:rsidP="006122C5">
      <w:pPr>
        <w:spacing w:line="240" w:lineRule="auto"/>
        <w:ind w:firstLine="720"/>
        <w:rPr>
          <w:rFonts w:asciiTheme="majorBidi" w:hAnsiTheme="majorBidi" w:cstheme="majorBidi"/>
          <w:sz w:val="24"/>
          <w:szCs w:val="24"/>
        </w:rPr>
      </w:pPr>
    </w:p>
    <w:p w14:paraId="780D5550" w14:textId="77777777" w:rsidR="00254BBC" w:rsidRDefault="00254BBC" w:rsidP="006122C5">
      <w:pPr>
        <w:spacing w:line="240" w:lineRule="auto"/>
        <w:ind w:firstLine="720"/>
        <w:rPr>
          <w:rFonts w:asciiTheme="majorBidi" w:hAnsiTheme="majorBidi" w:cstheme="majorBidi"/>
          <w:sz w:val="24"/>
          <w:szCs w:val="24"/>
        </w:rPr>
      </w:pPr>
    </w:p>
    <w:p w14:paraId="4A8EB191" w14:textId="77777777" w:rsidR="00254BBC" w:rsidRDefault="00254BBC" w:rsidP="006122C5">
      <w:pPr>
        <w:spacing w:line="240" w:lineRule="auto"/>
        <w:ind w:firstLine="720"/>
        <w:rPr>
          <w:rFonts w:asciiTheme="majorBidi" w:hAnsiTheme="majorBidi" w:cstheme="majorBidi"/>
          <w:sz w:val="24"/>
          <w:szCs w:val="24"/>
        </w:rPr>
      </w:pPr>
    </w:p>
    <w:p w14:paraId="0A1C399A" w14:textId="082B719B" w:rsidR="00254BBC" w:rsidRDefault="00254BBC" w:rsidP="006122C5">
      <w:pPr>
        <w:spacing w:line="240" w:lineRule="auto"/>
        <w:ind w:firstLine="720"/>
        <w:rPr>
          <w:rFonts w:asciiTheme="majorBidi" w:hAnsiTheme="majorBidi" w:cstheme="majorBidi"/>
          <w:sz w:val="24"/>
          <w:szCs w:val="24"/>
        </w:rPr>
      </w:pPr>
    </w:p>
    <w:p w14:paraId="16878E84" w14:textId="77777777" w:rsidR="00254BBC" w:rsidRDefault="00254BBC" w:rsidP="006122C5">
      <w:pPr>
        <w:spacing w:line="240" w:lineRule="auto"/>
        <w:ind w:firstLine="720"/>
        <w:rPr>
          <w:rFonts w:asciiTheme="majorBidi" w:hAnsiTheme="majorBidi" w:cstheme="majorBidi"/>
          <w:sz w:val="24"/>
          <w:szCs w:val="24"/>
        </w:rPr>
      </w:pPr>
    </w:p>
    <w:p w14:paraId="02BA893C" w14:textId="77777777" w:rsidR="00254BBC" w:rsidRDefault="00254BBC" w:rsidP="006122C5">
      <w:pPr>
        <w:spacing w:line="240" w:lineRule="auto"/>
        <w:ind w:firstLine="720"/>
        <w:rPr>
          <w:rFonts w:asciiTheme="majorBidi" w:hAnsiTheme="majorBidi" w:cstheme="majorBidi"/>
          <w:sz w:val="24"/>
          <w:szCs w:val="24"/>
        </w:rPr>
      </w:pPr>
    </w:p>
    <w:p w14:paraId="3C943035" w14:textId="77777777" w:rsidR="00254BBC" w:rsidRDefault="00254BBC" w:rsidP="006122C5">
      <w:pPr>
        <w:spacing w:line="240" w:lineRule="auto"/>
        <w:ind w:firstLine="720"/>
        <w:rPr>
          <w:rFonts w:asciiTheme="majorBidi" w:hAnsiTheme="majorBidi" w:cstheme="majorBidi"/>
          <w:sz w:val="24"/>
          <w:szCs w:val="24"/>
        </w:rPr>
      </w:pPr>
    </w:p>
    <w:p w14:paraId="507E2E66" w14:textId="77777777" w:rsidR="00254BBC" w:rsidRDefault="00254BBC" w:rsidP="006122C5">
      <w:pPr>
        <w:spacing w:line="240" w:lineRule="auto"/>
        <w:ind w:firstLine="720"/>
        <w:rPr>
          <w:rFonts w:asciiTheme="majorBidi" w:hAnsiTheme="majorBidi" w:cstheme="majorBidi"/>
          <w:sz w:val="24"/>
          <w:szCs w:val="24"/>
        </w:rPr>
      </w:pPr>
    </w:p>
    <w:p w14:paraId="4DA9C44E" w14:textId="77777777" w:rsidR="00254BBC" w:rsidRDefault="00254BBC" w:rsidP="006122C5">
      <w:pPr>
        <w:spacing w:line="240" w:lineRule="auto"/>
        <w:ind w:firstLine="720"/>
        <w:rPr>
          <w:rFonts w:asciiTheme="majorBidi" w:hAnsiTheme="majorBidi" w:cstheme="majorBidi"/>
          <w:sz w:val="24"/>
          <w:szCs w:val="24"/>
        </w:rPr>
      </w:pPr>
    </w:p>
    <w:p w14:paraId="227E8146" w14:textId="77777777" w:rsidR="00254BBC" w:rsidRDefault="00254BBC" w:rsidP="006122C5">
      <w:pPr>
        <w:spacing w:line="240" w:lineRule="auto"/>
        <w:ind w:firstLine="720"/>
        <w:rPr>
          <w:rFonts w:asciiTheme="majorBidi" w:hAnsiTheme="majorBidi" w:cstheme="majorBidi"/>
          <w:sz w:val="24"/>
          <w:szCs w:val="24"/>
        </w:rPr>
      </w:pPr>
    </w:p>
    <w:p w14:paraId="5EB425DB" w14:textId="77777777" w:rsidR="00254BBC" w:rsidRDefault="00254BBC" w:rsidP="00511D9B">
      <w:pPr>
        <w:spacing w:line="240" w:lineRule="auto"/>
        <w:rPr>
          <w:rFonts w:asciiTheme="majorBidi" w:hAnsiTheme="majorBidi" w:cstheme="majorBidi"/>
          <w:sz w:val="24"/>
          <w:szCs w:val="24"/>
        </w:rPr>
      </w:pPr>
    </w:p>
    <w:p w14:paraId="3783EA7A" w14:textId="77777777" w:rsidR="00254BBC" w:rsidRDefault="00254BBC" w:rsidP="006122C5">
      <w:pPr>
        <w:spacing w:line="240" w:lineRule="auto"/>
        <w:ind w:firstLine="720"/>
        <w:rPr>
          <w:rFonts w:asciiTheme="majorBidi" w:hAnsiTheme="majorBidi" w:cstheme="majorBidi"/>
          <w:sz w:val="24"/>
          <w:szCs w:val="24"/>
        </w:rPr>
      </w:pPr>
    </w:p>
    <w:p w14:paraId="7548BC63" w14:textId="1CE2F247" w:rsidR="006122C5" w:rsidRDefault="006122C5" w:rsidP="00254BBC">
      <w:pPr>
        <w:spacing w:line="240" w:lineRule="auto"/>
        <w:ind w:firstLine="720"/>
        <w:rPr>
          <w:rFonts w:asciiTheme="majorBidi" w:hAnsiTheme="majorBidi" w:cstheme="majorBidi"/>
          <w:sz w:val="24"/>
          <w:szCs w:val="24"/>
        </w:rPr>
      </w:pPr>
      <w:r>
        <w:rPr>
          <w:rFonts w:asciiTheme="majorBidi" w:hAnsiTheme="majorBidi" w:cstheme="majorBidi"/>
          <w:sz w:val="24"/>
          <w:szCs w:val="24"/>
        </w:rPr>
        <w:t xml:space="preserve">                                                                                               </w:t>
      </w:r>
    </w:p>
    <w:p w14:paraId="00F5DC72" w14:textId="685D8AE4" w:rsidR="006122C5" w:rsidRPr="006122C5" w:rsidRDefault="006122C5" w:rsidP="006122C5">
      <w:pPr>
        <w:spacing w:line="480" w:lineRule="auto"/>
        <w:ind w:firstLine="720"/>
        <w:jc w:val="center"/>
        <w:rPr>
          <w:rFonts w:asciiTheme="majorBidi" w:hAnsiTheme="majorBidi" w:cstheme="majorBidi"/>
          <w:sz w:val="24"/>
          <w:szCs w:val="24"/>
        </w:rPr>
      </w:pPr>
      <w:r w:rsidRPr="006122C5">
        <w:rPr>
          <w:rFonts w:asciiTheme="majorBidi" w:hAnsiTheme="majorBidi" w:cstheme="majorBidi"/>
          <w:sz w:val="24"/>
          <w:szCs w:val="24"/>
        </w:rPr>
        <w:t xml:space="preserve">The </w:t>
      </w:r>
      <w:r w:rsidR="00511D9B">
        <w:rPr>
          <w:rFonts w:asciiTheme="majorBidi" w:hAnsiTheme="majorBidi" w:cstheme="majorBidi"/>
          <w:sz w:val="24"/>
          <w:szCs w:val="24"/>
        </w:rPr>
        <w:t>E</w:t>
      </w:r>
      <w:r w:rsidRPr="006122C5">
        <w:rPr>
          <w:rFonts w:asciiTheme="majorBidi" w:hAnsiTheme="majorBidi" w:cstheme="majorBidi"/>
          <w:sz w:val="24"/>
          <w:szCs w:val="24"/>
        </w:rPr>
        <w:t xml:space="preserve">thical </w:t>
      </w:r>
      <w:r w:rsidR="00511D9B">
        <w:rPr>
          <w:rFonts w:asciiTheme="majorBidi" w:hAnsiTheme="majorBidi" w:cstheme="majorBidi"/>
          <w:sz w:val="24"/>
          <w:szCs w:val="24"/>
        </w:rPr>
        <w:t>V</w:t>
      </w:r>
      <w:r w:rsidRPr="006122C5">
        <w:rPr>
          <w:rFonts w:asciiTheme="majorBidi" w:hAnsiTheme="majorBidi" w:cstheme="majorBidi"/>
          <w:sz w:val="24"/>
          <w:szCs w:val="24"/>
        </w:rPr>
        <w:t xml:space="preserve">iolations Arthur Anderson </w:t>
      </w:r>
      <w:r w:rsidR="00511D9B">
        <w:rPr>
          <w:rFonts w:asciiTheme="majorBidi" w:hAnsiTheme="majorBidi" w:cstheme="majorBidi"/>
          <w:sz w:val="24"/>
          <w:szCs w:val="24"/>
        </w:rPr>
        <w:t>C</w:t>
      </w:r>
      <w:r w:rsidRPr="006122C5">
        <w:rPr>
          <w:rFonts w:asciiTheme="majorBidi" w:hAnsiTheme="majorBidi" w:cstheme="majorBidi"/>
          <w:sz w:val="24"/>
          <w:szCs w:val="24"/>
        </w:rPr>
        <w:t xml:space="preserve">ase </w:t>
      </w:r>
      <w:r w:rsidR="00511D9B">
        <w:rPr>
          <w:rFonts w:asciiTheme="majorBidi" w:hAnsiTheme="majorBidi" w:cstheme="majorBidi"/>
          <w:sz w:val="24"/>
          <w:szCs w:val="24"/>
        </w:rPr>
        <w:t>S</w:t>
      </w:r>
      <w:r w:rsidRPr="006122C5">
        <w:rPr>
          <w:rFonts w:asciiTheme="majorBidi" w:hAnsiTheme="majorBidi" w:cstheme="majorBidi"/>
          <w:sz w:val="24"/>
          <w:szCs w:val="24"/>
        </w:rPr>
        <w:t>tudy</w:t>
      </w:r>
    </w:p>
    <w:p w14:paraId="2617CAAD" w14:textId="584F9AE3" w:rsidR="004856F0" w:rsidRPr="006122C5" w:rsidRDefault="004856F0"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Arthur Anderson Organization is a significant external accounting firm that thrived in its field by adhering to specific standards that aided interested stakeholders and gained people's trust, making them popular on the market by offering their services of auditing and consulting to tackle many companies before it collapsed as a consequence of numerous violations of the ethical code of the American Institute of Certified Public Accountants and the Information Systems Audit and Control Association. There are several violations of the ethical code committed by Arthur Anderson while working for clients’ companies. Therefore, the company filed for bankruptcy in 2002.</w:t>
      </w:r>
    </w:p>
    <w:p w14:paraId="27FA0F1B" w14:textId="7C6B5525" w:rsidR="007A0713" w:rsidRPr="006122C5" w:rsidRDefault="007A0713"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  the AICPA code of conduct: objectivity and independence</w:t>
      </w:r>
    </w:p>
    <w:p w14:paraId="39932ED1" w14:textId="54EA2A82" w:rsidR="007A0713" w:rsidRPr="006122C5" w:rsidRDefault="007A0713"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 the AICPA code of conduct: conflicts of interest</w:t>
      </w:r>
    </w:p>
    <w:p w14:paraId="2BBD2638" w14:textId="50A1F975" w:rsidR="005D21A8" w:rsidRPr="006122C5" w:rsidRDefault="00826F91"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lastRenderedPageBreak/>
        <w:t>The involvement of Arthur Andersen’s company with other accountants’ organizations in pressure campaigns against the Securities and Exchange Commission agency, which aids in the enforcement of the law against market manipulation by requiring audited financial statements that include all activities and accounts of the organization to be submitted to the office of management and budget and Congress (Padilla, 2022), is considered a violation of the AICPA code of conduct. This participation in the lobbying movement with other accounting companies is a violation of principles of objectivity and independence as a result of their prioritizing their own interests in front of their professional obligations to deliver truthful and objective financial reporting. Similarly, this action is also a violation of their responsibility to prevent conflicts of interest because they ought to have placed the needs of their customers and the public interest before their own. Ultimately, Arthur Andersen’s stress movement against the SEC agency is a violation of the principles of objectiveness, independence, and public interest.</w:t>
      </w:r>
    </w:p>
    <w:p w14:paraId="70EBEAE6" w14:textId="28030B62" w:rsidR="007A0713" w:rsidRPr="006122C5" w:rsidRDefault="007A0713"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 AICPA code of conduct: integrity</w:t>
      </w:r>
    </w:p>
    <w:p w14:paraId="4C10B660" w14:textId="623F0DD8" w:rsidR="007A0713" w:rsidRPr="006122C5" w:rsidRDefault="007A0713"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 AICPA code of conduct: the competence and due professional care</w:t>
      </w:r>
    </w:p>
    <w:p w14:paraId="2722B640" w14:textId="1C9E0730" w:rsidR="007A0713" w:rsidRPr="006122C5" w:rsidRDefault="007A0713"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w:t>
      </w:r>
      <w:r w:rsidR="00B61111" w:rsidRPr="006122C5">
        <w:rPr>
          <w:rFonts w:asciiTheme="majorBidi" w:hAnsiTheme="majorBidi" w:cstheme="majorBidi"/>
          <w:sz w:val="24"/>
          <w:szCs w:val="24"/>
        </w:rPr>
        <w:t>ISACA</w:t>
      </w:r>
      <w:r w:rsidR="006122C5" w:rsidRPr="006122C5">
        <w:rPr>
          <w:rFonts w:asciiTheme="majorBidi" w:hAnsiTheme="majorBidi" w:cstheme="majorBidi"/>
          <w:sz w:val="24"/>
          <w:szCs w:val="24"/>
        </w:rPr>
        <w:t xml:space="preserve"> Code of Professional Ethics</w:t>
      </w:r>
      <w:r w:rsidR="00B61111" w:rsidRPr="006122C5">
        <w:rPr>
          <w:rFonts w:asciiTheme="majorBidi" w:hAnsiTheme="majorBidi" w:cstheme="majorBidi"/>
          <w:sz w:val="24"/>
          <w:szCs w:val="24"/>
        </w:rPr>
        <w:t>:</w:t>
      </w:r>
      <w:r w:rsidRPr="006122C5">
        <w:rPr>
          <w:rFonts w:asciiTheme="majorBidi" w:hAnsiTheme="majorBidi" w:cstheme="majorBidi"/>
          <w:sz w:val="24"/>
          <w:szCs w:val="24"/>
        </w:rPr>
        <w:t xml:space="preserve"> interests of investors</w:t>
      </w:r>
    </w:p>
    <w:p w14:paraId="3FAA1D8A" w14:textId="41F61061" w:rsidR="007A0713" w:rsidRPr="006122C5" w:rsidRDefault="007A0713"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 ISACA</w:t>
      </w:r>
      <w:r w:rsidR="006122C5" w:rsidRPr="006122C5">
        <w:rPr>
          <w:rFonts w:asciiTheme="majorBidi" w:hAnsiTheme="majorBidi" w:cstheme="majorBidi"/>
          <w:sz w:val="24"/>
          <w:szCs w:val="24"/>
        </w:rPr>
        <w:t xml:space="preserve"> Code of Professional Ethics</w:t>
      </w:r>
      <w:r w:rsidR="00B61111" w:rsidRPr="006122C5">
        <w:rPr>
          <w:rFonts w:asciiTheme="majorBidi" w:hAnsiTheme="majorBidi" w:cstheme="majorBidi"/>
          <w:sz w:val="24"/>
          <w:szCs w:val="24"/>
        </w:rPr>
        <w:t>:</w:t>
      </w:r>
      <w:r w:rsidRPr="006122C5">
        <w:rPr>
          <w:rFonts w:asciiTheme="majorBidi" w:hAnsiTheme="majorBidi" w:cstheme="majorBidi"/>
          <w:sz w:val="24"/>
          <w:szCs w:val="24"/>
        </w:rPr>
        <w:t xml:space="preserve"> company reputations</w:t>
      </w:r>
    </w:p>
    <w:p w14:paraId="7EB80283" w14:textId="1D2690A6" w:rsidR="007A0713" w:rsidRPr="006122C5" w:rsidRDefault="00AE0A6F"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 xml:space="preserve">There were several unethical actions taken by Arthur Andersen when dealing with the DeLorean sports car account company in the late seventies. Anderson's partner, Dick </w:t>
      </w:r>
      <w:proofErr w:type="spellStart"/>
      <w:r w:rsidRPr="006122C5">
        <w:rPr>
          <w:rFonts w:asciiTheme="majorBidi" w:hAnsiTheme="majorBidi" w:cstheme="majorBidi"/>
          <w:sz w:val="24"/>
          <w:szCs w:val="24"/>
        </w:rPr>
        <w:t>Measelle</w:t>
      </w:r>
      <w:proofErr w:type="spellEnd"/>
      <w:r w:rsidRPr="006122C5">
        <w:rPr>
          <w:rFonts w:asciiTheme="majorBidi" w:hAnsiTheme="majorBidi" w:cstheme="majorBidi"/>
          <w:sz w:val="24"/>
          <w:szCs w:val="24"/>
        </w:rPr>
        <w:t xml:space="preserve">, who takes approval of Anderson's company on the John DeLorean record based on his clarification of luxury purchases to DeLorean instead of examining the DeLorean accounts, is a breach of integrity because the accountant should make judgments based on tangible things based on the AICPA. Moreover, the disregard for investigation bookkeeping compromises the </w:t>
      </w:r>
      <w:r w:rsidRPr="006122C5">
        <w:rPr>
          <w:rFonts w:asciiTheme="majorBidi" w:hAnsiTheme="majorBidi" w:cstheme="majorBidi"/>
          <w:sz w:val="24"/>
          <w:szCs w:val="24"/>
        </w:rPr>
        <w:lastRenderedPageBreak/>
        <w:t>significant competence and due professional care that auditors should have in their procedures. Finally, The Anderson Company suffered from significant moral and legal consequences, such as financial losses to compensate angry investors for loss deals and being prohibited from working in the United Kingdom for many years, which is the opposite of an ethical code of ISACA that requires serving the interests of investors, providing high standards of conduct, and avoiding damaging company reputations.</w:t>
      </w:r>
    </w:p>
    <w:p w14:paraId="221C00E0" w14:textId="0AC27CB1" w:rsidR="007A0713" w:rsidRPr="006122C5" w:rsidRDefault="007A0713"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 AICPA</w:t>
      </w:r>
      <w:r w:rsidR="0003233C" w:rsidRPr="006122C5">
        <w:rPr>
          <w:rFonts w:asciiTheme="majorBidi" w:hAnsiTheme="majorBidi" w:cstheme="majorBidi"/>
          <w:sz w:val="24"/>
          <w:szCs w:val="24"/>
        </w:rPr>
        <w:t xml:space="preserve"> code of conduct</w:t>
      </w:r>
      <w:r w:rsidRPr="006122C5">
        <w:rPr>
          <w:rFonts w:asciiTheme="majorBidi" w:hAnsiTheme="majorBidi" w:cstheme="majorBidi"/>
          <w:sz w:val="24"/>
          <w:szCs w:val="24"/>
        </w:rPr>
        <w:t>: conflicts of interest</w:t>
      </w:r>
    </w:p>
    <w:p w14:paraId="0481B15D" w14:textId="583C4829" w:rsidR="007A0713" w:rsidRPr="006122C5" w:rsidRDefault="007A0713"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 AICPA</w:t>
      </w:r>
      <w:r w:rsidR="0003233C" w:rsidRPr="006122C5">
        <w:rPr>
          <w:rFonts w:asciiTheme="majorBidi" w:hAnsiTheme="majorBidi" w:cstheme="majorBidi"/>
          <w:sz w:val="24"/>
          <w:szCs w:val="24"/>
        </w:rPr>
        <w:t xml:space="preserve"> code of conduct</w:t>
      </w:r>
      <w:r w:rsidRPr="006122C5">
        <w:rPr>
          <w:rFonts w:asciiTheme="majorBidi" w:hAnsiTheme="majorBidi" w:cstheme="majorBidi"/>
          <w:sz w:val="24"/>
          <w:szCs w:val="24"/>
        </w:rPr>
        <w:t>: objective and independent</w:t>
      </w:r>
    </w:p>
    <w:p w14:paraId="3E24AB64" w14:textId="3339F1DD" w:rsidR="007A0713" w:rsidRPr="006122C5" w:rsidRDefault="008D652C"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 ISACA</w:t>
      </w:r>
      <w:r w:rsidR="006122C5" w:rsidRPr="006122C5">
        <w:rPr>
          <w:rFonts w:asciiTheme="majorBidi" w:hAnsiTheme="majorBidi" w:cstheme="majorBidi"/>
          <w:sz w:val="24"/>
          <w:szCs w:val="24"/>
        </w:rPr>
        <w:t xml:space="preserve"> Code of Professional Ethics</w:t>
      </w:r>
      <w:r w:rsidRPr="006122C5">
        <w:rPr>
          <w:rFonts w:asciiTheme="majorBidi" w:hAnsiTheme="majorBidi" w:cstheme="majorBidi"/>
          <w:sz w:val="24"/>
          <w:szCs w:val="24"/>
        </w:rPr>
        <w:t>: independence</w:t>
      </w:r>
    </w:p>
    <w:p w14:paraId="0CEDE9D9" w14:textId="0C620293" w:rsidR="008D652C" w:rsidRPr="006122C5" w:rsidRDefault="008D652C"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 ISACA</w:t>
      </w:r>
      <w:r w:rsidR="0003233C" w:rsidRPr="006122C5">
        <w:rPr>
          <w:rFonts w:asciiTheme="majorBidi" w:hAnsiTheme="majorBidi" w:cstheme="majorBidi"/>
          <w:sz w:val="24"/>
          <w:szCs w:val="24"/>
        </w:rPr>
        <w:t xml:space="preserve"> Code of Professional Ethics</w:t>
      </w:r>
      <w:r w:rsidR="006122C5" w:rsidRPr="006122C5">
        <w:rPr>
          <w:rFonts w:asciiTheme="majorBidi" w:hAnsiTheme="majorBidi" w:cstheme="majorBidi"/>
          <w:sz w:val="24"/>
          <w:szCs w:val="24"/>
        </w:rPr>
        <w:t>:</w:t>
      </w:r>
      <w:r w:rsidRPr="006122C5">
        <w:rPr>
          <w:rFonts w:asciiTheme="majorBidi" w:hAnsiTheme="majorBidi" w:cstheme="majorBidi"/>
          <w:sz w:val="24"/>
          <w:szCs w:val="24"/>
        </w:rPr>
        <w:t xml:space="preserve"> due care</w:t>
      </w:r>
    </w:p>
    <w:p w14:paraId="3964C29E" w14:textId="0BB15A79" w:rsidR="00B05015" w:rsidRPr="006122C5" w:rsidRDefault="00826F91"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There was conflict among the consulting and accounting departments of the Arthur Anderson Company, which caused many violations of ethical codes. This conflict causes division between the two units at Arthur Andersen because of the demand for consultants to have more control over the business due to their ability to generate higher income for the company than the accountants. As a result, both sections behave as though they are separate due to this division. This separation is against the AICPA's ethical code because it displays conflicts of interest and undermines their ability to remain objective and independent, which could have put the company at risk. Additionally, this division might affect the work of consulting services by providing biased recommendations, which is against the ISACA code that requires independence and the use of due care in their professional processes. Finally, the company should regulate relationships between departments to prevent any rules of ethics from being violated.</w:t>
      </w:r>
    </w:p>
    <w:p w14:paraId="2DE88317" w14:textId="6125F22F" w:rsidR="00826F91" w:rsidRPr="006122C5" w:rsidRDefault="008D652C" w:rsidP="006122C5">
      <w:pPr>
        <w:spacing w:line="480" w:lineRule="auto"/>
        <w:rPr>
          <w:rFonts w:asciiTheme="majorBidi" w:hAnsiTheme="majorBidi" w:cstheme="majorBidi"/>
          <w:sz w:val="24"/>
          <w:szCs w:val="24"/>
        </w:rPr>
      </w:pPr>
      <w:r w:rsidRPr="006122C5">
        <w:rPr>
          <w:rFonts w:asciiTheme="majorBidi" w:hAnsiTheme="majorBidi" w:cstheme="majorBidi"/>
          <w:sz w:val="24"/>
          <w:szCs w:val="24"/>
        </w:rPr>
        <w:t>- AICPA</w:t>
      </w:r>
      <w:r w:rsidR="0003233C" w:rsidRPr="006122C5">
        <w:rPr>
          <w:rFonts w:asciiTheme="majorBidi" w:hAnsiTheme="majorBidi" w:cstheme="majorBidi"/>
          <w:sz w:val="24"/>
          <w:szCs w:val="24"/>
        </w:rPr>
        <w:t xml:space="preserve"> code of conduct</w:t>
      </w:r>
      <w:r w:rsidRPr="006122C5">
        <w:rPr>
          <w:rFonts w:asciiTheme="majorBidi" w:hAnsiTheme="majorBidi" w:cstheme="majorBidi"/>
          <w:sz w:val="24"/>
          <w:szCs w:val="24"/>
        </w:rPr>
        <w:t>: due professional care and diligence</w:t>
      </w:r>
    </w:p>
    <w:p w14:paraId="0B5B8967" w14:textId="717F0EFC" w:rsidR="008D652C" w:rsidRPr="006122C5" w:rsidRDefault="008D652C" w:rsidP="006122C5">
      <w:pPr>
        <w:spacing w:line="480" w:lineRule="auto"/>
        <w:rPr>
          <w:rFonts w:asciiTheme="majorBidi" w:hAnsiTheme="majorBidi" w:cstheme="majorBidi"/>
          <w:sz w:val="24"/>
          <w:szCs w:val="24"/>
        </w:rPr>
      </w:pPr>
      <w:r w:rsidRPr="006122C5">
        <w:rPr>
          <w:rFonts w:asciiTheme="majorBidi" w:hAnsiTheme="majorBidi" w:cstheme="majorBidi"/>
          <w:sz w:val="24"/>
          <w:szCs w:val="24"/>
        </w:rPr>
        <w:lastRenderedPageBreak/>
        <w:t>- AICPA</w:t>
      </w:r>
      <w:r w:rsidR="0003233C" w:rsidRPr="006122C5">
        <w:rPr>
          <w:rFonts w:asciiTheme="majorBidi" w:hAnsiTheme="majorBidi" w:cstheme="majorBidi"/>
          <w:sz w:val="24"/>
          <w:szCs w:val="24"/>
        </w:rPr>
        <w:t xml:space="preserve"> code of conduct</w:t>
      </w:r>
      <w:r w:rsidRPr="006122C5">
        <w:rPr>
          <w:rFonts w:asciiTheme="majorBidi" w:hAnsiTheme="majorBidi" w:cstheme="majorBidi"/>
          <w:sz w:val="24"/>
          <w:szCs w:val="24"/>
        </w:rPr>
        <w:t>: integrity</w:t>
      </w:r>
    </w:p>
    <w:p w14:paraId="2B0A235D" w14:textId="18A691FA" w:rsidR="008D652C" w:rsidRPr="006122C5" w:rsidRDefault="008D652C" w:rsidP="006122C5">
      <w:pPr>
        <w:spacing w:line="480" w:lineRule="auto"/>
        <w:rPr>
          <w:rFonts w:asciiTheme="majorBidi" w:hAnsiTheme="majorBidi" w:cstheme="majorBidi"/>
          <w:sz w:val="24"/>
          <w:szCs w:val="24"/>
        </w:rPr>
      </w:pPr>
      <w:r w:rsidRPr="006122C5">
        <w:rPr>
          <w:rFonts w:asciiTheme="majorBidi" w:hAnsiTheme="majorBidi" w:cstheme="majorBidi"/>
          <w:sz w:val="24"/>
          <w:szCs w:val="24"/>
        </w:rPr>
        <w:t>- AICPA</w:t>
      </w:r>
      <w:r w:rsidR="0003233C" w:rsidRPr="006122C5">
        <w:rPr>
          <w:rFonts w:asciiTheme="majorBidi" w:hAnsiTheme="majorBidi" w:cstheme="majorBidi"/>
          <w:sz w:val="24"/>
          <w:szCs w:val="24"/>
        </w:rPr>
        <w:t xml:space="preserve"> code of conduct</w:t>
      </w:r>
      <w:r w:rsidRPr="006122C5">
        <w:rPr>
          <w:rFonts w:asciiTheme="majorBidi" w:hAnsiTheme="majorBidi" w:cstheme="majorBidi"/>
          <w:sz w:val="24"/>
          <w:szCs w:val="24"/>
        </w:rPr>
        <w:t>: independence</w:t>
      </w:r>
    </w:p>
    <w:p w14:paraId="73890015" w14:textId="45481490" w:rsidR="008D652C" w:rsidRPr="006122C5" w:rsidRDefault="008D652C" w:rsidP="006122C5">
      <w:pPr>
        <w:spacing w:line="480" w:lineRule="auto"/>
        <w:rPr>
          <w:rFonts w:asciiTheme="majorBidi" w:hAnsiTheme="majorBidi" w:cstheme="majorBidi"/>
          <w:sz w:val="24"/>
          <w:szCs w:val="24"/>
        </w:rPr>
      </w:pPr>
      <w:r w:rsidRPr="006122C5">
        <w:rPr>
          <w:rFonts w:asciiTheme="majorBidi" w:hAnsiTheme="majorBidi" w:cstheme="majorBidi"/>
          <w:sz w:val="24"/>
          <w:szCs w:val="24"/>
        </w:rPr>
        <w:t>- AICPA</w:t>
      </w:r>
      <w:r w:rsidR="0003233C" w:rsidRPr="006122C5">
        <w:rPr>
          <w:rFonts w:asciiTheme="majorBidi" w:hAnsiTheme="majorBidi" w:cstheme="majorBidi"/>
          <w:sz w:val="24"/>
          <w:szCs w:val="24"/>
        </w:rPr>
        <w:t xml:space="preserve"> code of conduct</w:t>
      </w:r>
      <w:r w:rsidRPr="006122C5">
        <w:rPr>
          <w:rFonts w:asciiTheme="majorBidi" w:hAnsiTheme="majorBidi" w:cstheme="majorBidi"/>
          <w:sz w:val="24"/>
          <w:szCs w:val="24"/>
        </w:rPr>
        <w:t>: objectivity and integrity</w:t>
      </w:r>
    </w:p>
    <w:p w14:paraId="34289A82" w14:textId="5A6580F5" w:rsidR="008D652C" w:rsidRPr="006122C5" w:rsidRDefault="008D652C" w:rsidP="006122C5">
      <w:pPr>
        <w:spacing w:line="480" w:lineRule="auto"/>
        <w:rPr>
          <w:rFonts w:asciiTheme="majorBidi" w:hAnsiTheme="majorBidi" w:cstheme="majorBidi"/>
          <w:sz w:val="24"/>
          <w:szCs w:val="24"/>
        </w:rPr>
      </w:pPr>
      <w:r w:rsidRPr="006122C5">
        <w:rPr>
          <w:rFonts w:asciiTheme="majorBidi" w:hAnsiTheme="majorBidi" w:cstheme="majorBidi"/>
          <w:sz w:val="24"/>
          <w:szCs w:val="24"/>
        </w:rPr>
        <w:t>- ISACA</w:t>
      </w:r>
      <w:r w:rsidR="0003233C" w:rsidRPr="006122C5">
        <w:rPr>
          <w:rFonts w:asciiTheme="majorBidi" w:hAnsiTheme="majorBidi" w:cstheme="majorBidi"/>
          <w:sz w:val="24"/>
          <w:szCs w:val="24"/>
        </w:rPr>
        <w:t xml:space="preserve"> Code of Professional Ethics</w:t>
      </w:r>
      <w:r w:rsidRPr="006122C5">
        <w:rPr>
          <w:rFonts w:asciiTheme="majorBidi" w:hAnsiTheme="majorBidi" w:cstheme="majorBidi"/>
          <w:sz w:val="24"/>
          <w:szCs w:val="24"/>
        </w:rPr>
        <w:t>: objectivity and independence</w:t>
      </w:r>
    </w:p>
    <w:p w14:paraId="5B618FDD" w14:textId="605EE929" w:rsidR="00B05015" w:rsidRPr="006122C5" w:rsidRDefault="00826F91"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 xml:space="preserve">In the case of a waste management company, the auditor of Arthur Andersen's process of attempting to satisfy their customers by growing their income through consultation instead of concentration on executing their auditing operation might lead to insufficient execution and financial statement evaluation, which is a violation of the practice of due professional care and diligence in auditors’ careers. Furthermore, the mistakenness of Andersen, instead of doing their job as a gatekeeper of waste management action, acts like they are in the same group, which is considered a violation of integrity in their procedure because they do not put relationship barriers between investors and auditors. Likewise, lack of integrity overvalues the garbage truck cost by the auditors of a waste management company to increase the value of its assets based on AICPA standards. Internal accountants of the waste management organization were hired from Arthur Andersen, which is another violation that might breach the independence of the firm's auditing services as a result of the close relationship between both companies. Also, Anderson company behavior that involves upgrading their partners positions even though they commit huge mistakes is not moral conduct because it violates the principle of maintaining objectivity and integrity, like Robert </w:t>
      </w:r>
      <w:proofErr w:type="spellStart"/>
      <w:r w:rsidRPr="006122C5">
        <w:rPr>
          <w:rFonts w:asciiTheme="majorBidi" w:hAnsiTheme="majorBidi" w:cstheme="majorBidi"/>
          <w:sz w:val="24"/>
          <w:szCs w:val="24"/>
        </w:rPr>
        <w:t>Kutsenda's</w:t>
      </w:r>
      <w:proofErr w:type="spellEnd"/>
      <w:r w:rsidRPr="006122C5">
        <w:rPr>
          <w:rFonts w:asciiTheme="majorBidi" w:hAnsiTheme="majorBidi" w:cstheme="majorBidi"/>
          <w:sz w:val="24"/>
          <w:szCs w:val="24"/>
        </w:rPr>
        <w:t xml:space="preserve"> decision to become a partner in global risk management, according to the AICPA. The failure to detect the problems at the waste management company, which led to the legal consequences suffered by Andersen, is a violation of objectivity and independence, according to ISACA. Therefore, these violations destroy waste management.</w:t>
      </w:r>
    </w:p>
    <w:p w14:paraId="3423C5C1" w14:textId="4B71E33D" w:rsidR="00B61111" w:rsidRPr="006122C5" w:rsidRDefault="00B61111"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lastRenderedPageBreak/>
        <w:t>- AICPA</w:t>
      </w:r>
      <w:r w:rsidR="0003233C" w:rsidRPr="006122C5">
        <w:rPr>
          <w:rFonts w:asciiTheme="majorBidi" w:hAnsiTheme="majorBidi" w:cstheme="majorBidi"/>
          <w:sz w:val="24"/>
          <w:szCs w:val="24"/>
        </w:rPr>
        <w:t xml:space="preserve"> code of conduct</w:t>
      </w:r>
      <w:r w:rsidRPr="006122C5">
        <w:rPr>
          <w:rFonts w:asciiTheme="majorBidi" w:hAnsiTheme="majorBidi" w:cstheme="majorBidi"/>
          <w:sz w:val="24"/>
          <w:szCs w:val="24"/>
        </w:rPr>
        <w:t>: independence and objectivity</w:t>
      </w:r>
    </w:p>
    <w:p w14:paraId="17569EE9" w14:textId="42DE1D52" w:rsidR="00B61111" w:rsidRPr="006122C5" w:rsidRDefault="00B61111"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 AICPA</w:t>
      </w:r>
      <w:r w:rsidR="0003233C" w:rsidRPr="006122C5">
        <w:rPr>
          <w:rFonts w:asciiTheme="majorBidi" w:hAnsiTheme="majorBidi" w:cstheme="majorBidi"/>
          <w:sz w:val="24"/>
          <w:szCs w:val="24"/>
        </w:rPr>
        <w:t xml:space="preserve"> code of conduct</w:t>
      </w:r>
      <w:r w:rsidRPr="006122C5">
        <w:rPr>
          <w:rFonts w:asciiTheme="majorBidi" w:hAnsiTheme="majorBidi" w:cstheme="majorBidi"/>
          <w:sz w:val="24"/>
          <w:szCs w:val="24"/>
        </w:rPr>
        <w:t>: integrity</w:t>
      </w:r>
    </w:p>
    <w:p w14:paraId="5A18FD1D" w14:textId="59C07074" w:rsidR="00B61111" w:rsidRPr="006122C5" w:rsidRDefault="00B61111" w:rsidP="006122C5">
      <w:pPr>
        <w:spacing w:line="480" w:lineRule="auto"/>
        <w:rPr>
          <w:rFonts w:asciiTheme="majorBidi" w:hAnsiTheme="majorBidi" w:cstheme="majorBidi"/>
          <w:sz w:val="24"/>
          <w:szCs w:val="24"/>
        </w:rPr>
      </w:pPr>
      <w:r w:rsidRPr="006122C5">
        <w:rPr>
          <w:rFonts w:asciiTheme="majorBidi" w:hAnsiTheme="majorBidi" w:cstheme="majorBidi"/>
          <w:sz w:val="24"/>
          <w:szCs w:val="24"/>
        </w:rPr>
        <w:t>- ISACA</w:t>
      </w:r>
      <w:r w:rsidR="0003233C" w:rsidRPr="006122C5">
        <w:rPr>
          <w:rFonts w:asciiTheme="majorBidi" w:hAnsiTheme="majorBidi" w:cstheme="majorBidi"/>
          <w:sz w:val="24"/>
          <w:szCs w:val="24"/>
        </w:rPr>
        <w:t xml:space="preserve"> Code of Professional Ethics</w:t>
      </w:r>
      <w:r w:rsidRPr="006122C5">
        <w:rPr>
          <w:rFonts w:asciiTheme="majorBidi" w:hAnsiTheme="majorBidi" w:cstheme="majorBidi"/>
          <w:sz w:val="24"/>
          <w:szCs w:val="24"/>
        </w:rPr>
        <w:t>: conflict-of-interest</w:t>
      </w:r>
    </w:p>
    <w:p w14:paraId="6EC1A89D" w14:textId="681F8B0E" w:rsidR="00826F91" w:rsidRPr="006122C5" w:rsidRDefault="00826F91"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 xml:space="preserve">The several violations that Anderson's organization committed against its client, Enron One of the violations is being financially reliant on their customer, Enron Company, as the most significant customer because most of their business income comes from it, which indicates that they violate the principles of independence and objectivity found in the AICPA. Another violation of the moral code by Anderson Company violates integrity. When they were the subject of governmental investigations, Arthur Andersen's company did get rid of the document that could be used against them based on the AICPA. Moreover, the close relationship among Enron executives and Anderson accountants is a violation of the conflict-of-interest principle because it affects their independence and objective, which might influence their work found on ISACA. </w:t>
      </w:r>
    </w:p>
    <w:p w14:paraId="1B2C5EB6" w14:textId="7B9719B1" w:rsidR="00886BA4" w:rsidRPr="006122C5" w:rsidRDefault="00993B5D" w:rsidP="006122C5">
      <w:pPr>
        <w:spacing w:line="480" w:lineRule="auto"/>
        <w:ind w:firstLine="720"/>
        <w:rPr>
          <w:rFonts w:asciiTheme="majorBidi" w:hAnsiTheme="majorBidi" w:cstheme="majorBidi"/>
          <w:sz w:val="24"/>
          <w:szCs w:val="24"/>
        </w:rPr>
      </w:pPr>
      <w:r w:rsidRPr="006122C5">
        <w:rPr>
          <w:rFonts w:asciiTheme="majorBidi" w:hAnsiTheme="majorBidi" w:cstheme="majorBidi"/>
          <w:sz w:val="24"/>
          <w:szCs w:val="24"/>
        </w:rPr>
        <w:t>The</w:t>
      </w:r>
      <w:r w:rsidR="00B05015" w:rsidRPr="006122C5">
        <w:rPr>
          <w:rFonts w:asciiTheme="majorBidi" w:hAnsiTheme="majorBidi" w:cstheme="majorBidi"/>
          <w:sz w:val="24"/>
          <w:szCs w:val="24"/>
        </w:rPr>
        <w:t xml:space="preserve"> Anderson</w:t>
      </w:r>
      <w:r w:rsidRPr="006122C5">
        <w:rPr>
          <w:rFonts w:asciiTheme="majorBidi" w:hAnsiTheme="majorBidi" w:cstheme="majorBidi"/>
          <w:sz w:val="24"/>
          <w:szCs w:val="24"/>
        </w:rPr>
        <w:t xml:space="preserve"> company broke ethical codes while working for client companies, which led to its bankruptcy, loss of clients, and exposure to a huge number of charges in the courts.</w:t>
      </w:r>
    </w:p>
    <w:p w14:paraId="20D7FC06" w14:textId="77777777" w:rsidR="00886BA4" w:rsidRPr="006122C5" w:rsidRDefault="00886BA4" w:rsidP="006122C5">
      <w:pPr>
        <w:spacing w:line="480" w:lineRule="auto"/>
        <w:rPr>
          <w:rFonts w:asciiTheme="majorBidi" w:hAnsiTheme="majorBidi" w:cstheme="majorBidi"/>
          <w:sz w:val="24"/>
          <w:szCs w:val="24"/>
        </w:rPr>
      </w:pPr>
    </w:p>
    <w:p w14:paraId="5050F60C" w14:textId="1751A612" w:rsidR="00A83104" w:rsidRPr="006122C5" w:rsidRDefault="00A83104" w:rsidP="006122C5">
      <w:pPr>
        <w:spacing w:line="480" w:lineRule="auto"/>
        <w:rPr>
          <w:rFonts w:asciiTheme="majorBidi" w:hAnsiTheme="majorBidi" w:cstheme="majorBidi"/>
          <w:sz w:val="24"/>
          <w:szCs w:val="24"/>
        </w:rPr>
      </w:pPr>
      <w:r w:rsidRPr="006122C5">
        <w:rPr>
          <w:rFonts w:asciiTheme="majorBidi" w:hAnsiTheme="majorBidi" w:cstheme="majorBidi"/>
          <w:sz w:val="24"/>
          <w:szCs w:val="24"/>
        </w:rPr>
        <w:t xml:space="preserve"> </w:t>
      </w:r>
    </w:p>
    <w:p w14:paraId="325CCB2B" w14:textId="2CEB072A" w:rsidR="00082352" w:rsidRPr="006122C5" w:rsidRDefault="00082352" w:rsidP="006122C5">
      <w:pPr>
        <w:spacing w:line="480" w:lineRule="auto"/>
        <w:rPr>
          <w:rFonts w:asciiTheme="majorBidi" w:hAnsiTheme="majorBidi" w:cstheme="majorBidi"/>
          <w:sz w:val="24"/>
          <w:szCs w:val="24"/>
        </w:rPr>
      </w:pPr>
    </w:p>
    <w:p w14:paraId="4F7EA83B" w14:textId="4908AE55" w:rsidR="00082352" w:rsidRDefault="00082352" w:rsidP="0003374C"/>
    <w:p w14:paraId="6D14D6FB" w14:textId="53884ECC" w:rsidR="00082352" w:rsidRDefault="00082352" w:rsidP="0003374C"/>
    <w:p w14:paraId="2F43CC71" w14:textId="5706C6D8" w:rsidR="00082352" w:rsidRDefault="00082352" w:rsidP="0003374C"/>
    <w:p w14:paraId="3A07245C" w14:textId="3F0AB9BC" w:rsidR="00082352" w:rsidRDefault="00082352" w:rsidP="0003374C"/>
    <w:p w14:paraId="198432BF" w14:textId="7F9B8DDE" w:rsidR="00082352" w:rsidRDefault="00082352" w:rsidP="0003374C"/>
    <w:p w14:paraId="0D9E7E9A" w14:textId="146BA4A7" w:rsidR="00082352" w:rsidRDefault="00082352" w:rsidP="0003374C"/>
    <w:p w14:paraId="60EBB561" w14:textId="6B87EDBE" w:rsidR="00AD750E" w:rsidRDefault="00AD750E" w:rsidP="0035361D"/>
    <w:p w14:paraId="58B89020" w14:textId="3B7E1070" w:rsidR="006122C5" w:rsidRDefault="006122C5" w:rsidP="0035361D"/>
    <w:p w14:paraId="6E497958" w14:textId="67A62EC2" w:rsidR="006122C5" w:rsidRDefault="006122C5" w:rsidP="0035361D"/>
    <w:p w14:paraId="6D5CB1D3" w14:textId="181ED454" w:rsidR="00511D9B" w:rsidRDefault="00511D9B" w:rsidP="0035361D"/>
    <w:p w14:paraId="71C46AE9" w14:textId="17466907" w:rsidR="00511D9B" w:rsidRDefault="00511D9B" w:rsidP="0035361D"/>
    <w:p w14:paraId="0337F91B" w14:textId="77777777" w:rsidR="00511D9B" w:rsidRDefault="00511D9B" w:rsidP="0035361D"/>
    <w:p w14:paraId="6FCDC7FE" w14:textId="447E528F" w:rsidR="006122C5" w:rsidRDefault="006122C5" w:rsidP="0035361D"/>
    <w:p w14:paraId="3D321862" w14:textId="45DE38AD" w:rsidR="006122C5" w:rsidRDefault="006122C5" w:rsidP="0035361D"/>
    <w:p w14:paraId="79310CDA" w14:textId="69C6F663" w:rsidR="006122C5" w:rsidRDefault="006122C5" w:rsidP="0035361D"/>
    <w:p w14:paraId="10E72316" w14:textId="0E39C4C8" w:rsidR="006122C5" w:rsidRDefault="006122C5" w:rsidP="0035361D"/>
    <w:p w14:paraId="6D283354" w14:textId="77777777" w:rsidR="006122C5" w:rsidRPr="00DC7D6A" w:rsidRDefault="006122C5" w:rsidP="006122C5">
      <w:pPr>
        <w:spacing w:after="0" w:line="360" w:lineRule="auto"/>
        <w:contextualSpacing/>
        <w:jc w:val="center"/>
        <w:rPr>
          <w:rFonts w:ascii="Times New Roman" w:hAnsi="Times New Roman" w:cs="Times New Roman"/>
          <w:b/>
          <w:color w:val="000000" w:themeColor="text1"/>
          <w:sz w:val="24"/>
          <w:szCs w:val="24"/>
        </w:rPr>
      </w:pPr>
      <w:r w:rsidRPr="00DC7D6A">
        <w:rPr>
          <w:rFonts w:ascii="Times New Roman" w:hAnsi="Times New Roman" w:cs="Times New Roman"/>
          <w:b/>
          <w:color w:val="000000" w:themeColor="text1"/>
          <w:sz w:val="24"/>
          <w:szCs w:val="24"/>
        </w:rPr>
        <w:t>Strategic Goals for Addressing Next-Generation Technology Challenges</w:t>
      </w:r>
    </w:p>
    <w:tbl>
      <w:tblPr>
        <w:tblStyle w:val="TableGrid"/>
        <w:tblW w:w="0" w:type="auto"/>
        <w:tblLook w:val="04A0" w:firstRow="1" w:lastRow="0" w:firstColumn="1" w:lastColumn="0" w:noHBand="0" w:noVBand="1"/>
      </w:tblPr>
      <w:tblGrid>
        <w:gridCol w:w="2689"/>
        <w:gridCol w:w="2409"/>
        <w:gridCol w:w="4252"/>
      </w:tblGrid>
      <w:tr w:rsidR="006122C5" w:rsidRPr="00DC7D6A" w14:paraId="686F57C0" w14:textId="77777777" w:rsidTr="00212023">
        <w:tc>
          <w:tcPr>
            <w:tcW w:w="2689" w:type="dxa"/>
          </w:tcPr>
          <w:p w14:paraId="3A460777" w14:textId="77777777" w:rsidR="006122C5" w:rsidRPr="00DC7D6A" w:rsidRDefault="006122C5" w:rsidP="00212023">
            <w:pPr>
              <w:spacing w:line="360" w:lineRule="auto"/>
              <w:contextualSpacing/>
              <w:jc w:val="center"/>
              <w:rPr>
                <w:rFonts w:ascii="Times New Roman" w:hAnsi="Times New Roman" w:cs="Times New Roman"/>
                <w:sz w:val="24"/>
                <w:szCs w:val="24"/>
              </w:rPr>
            </w:pPr>
            <w:r w:rsidRPr="00DC7D6A">
              <w:rPr>
                <w:rFonts w:ascii="Times New Roman" w:hAnsi="Times New Roman" w:cs="Times New Roman"/>
                <w:sz w:val="24"/>
                <w:szCs w:val="24"/>
              </w:rPr>
              <w:t>Domain</w:t>
            </w:r>
          </w:p>
        </w:tc>
        <w:tc>
          <w:tcPr>
            <w:tcW w:w="2409" w:type="dxa"/>
          </w:tcPr>
          <w:p w14:paraId="2B993414" w14:textId="77777777" w:rsidR="006122C5" w:rsidRPr="00DC7D6A" w:rsidRDefault="006122C5" w:rsidP="00212023">
            <w:pPr>
              <w:spacing w:line="360" w:lineRule="auto"/>
              <w:contextualSpacing/>
              <w:rPr>
                <w:rFonts w:ascii="Times New Roman" w:hAnsi="Times New Roman" w:cs="Times New Roman"/>
                <w:sz w:val="24"/>
                <w:szCs w:val="24"/>
              </w:rPr>
            </w:pPr>
            <w:r w:rsidRPr="00DC7D6A">
              <w:rPr>
                <w:rFonts w:ascii="Times New Roman" w:hAnsi="Times New Roman" w:cs="Times New Roman"/>
                <w:sz w:val="24"/>
                <w:szCs w:val="24"/>
              </w:rPr>
              <w:t>Objective</w:t>
            </w:r>
          </w:p>
        </w:tc>
        <w:tc>
          <w:tcPr>
            <w:tcW w:w="4252" w:type="dxa"/>
          </w:tcPr>
          <w:p w14:paraId="2F6FA08F" w14:textId="77777777" w:rsidR="006122C5" w:rsidRPr="00DC7D6A" w:rsidRDefault="006122C5" w:rsidP="00212023">
            <w:pPr>
              <w:spacing w:line="360" w:lineRule="auto"/>
              <w:contextualSpacing/>
              <w:rPr>
                <w:rFonts w:ascii="Times New Roman" w:hAnsi="Times New Roman" w:cs="Times New Roman"/>
                <w:sz w:val="24"/>
                <w:szCs w:val="24"/>
              </w:rPr>
            </w:pPr>
            <w:r w:rsidRPr="00DC7D6A">
              <w:rPr>
                <w:rFonts w:ascii="Times New Roman" w:hAnsi="Times New Roman" w:cs="Times New Roman"/>
                <w:sz w:val="24"/>
                <w:szCs w:val="24"/>
              </w:rPr>
              <w:t xml:space="preserve">Proposed changes to the Objectives </w:t>
            </w:r>
          </w:p>
        </w:tc>
      </w:tr>
      <w:tr w:rsidR="006122C5" w:rsidRPr="00BA4DF0" w14:paraId="2C877509" w14:textId="77777777" w:rsidTr="00212023">
        <w:tc>
          <w:tcPr>
            <w:tcW w:w="2689" w:type="dxa"/>
          </w:tcPr>
          <w:p w14:paraId="12865DBC"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Evaluate, Direct, and Monitor</w:t>
            </w:r>
          </w:p>
        </w:tc>
        <w:tc>
          <w:tcPr>
            <w:tcW w:w="2409" w:type="dxa"/>
          </w:tcPr>
          <w:p w14:paraId="47C6A7E0"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Ensured Governance Framework Setting and Maintenance</w:t>
            </w:r>
          </w:p>
        </w:tc>
        <w:tc>
          <w:tcPr>
            <w:tcW w:w="4252" w:type="dxa"/>
          </w:tcPr>
          <w:p w14:paraId="2B230728" w14:textId="77777777" w:rsidR="006122C5" w:rsidRPr="00BA4DF0" w:rsidRDefault="006122C5" w:rsidP="00212023">
            <w:pPr>
              <w:spacing w:line="480" w:lineRule="auto"/>
              <w:rPr>
                <w:rFonts w:asciiTheme="majorBidi" w:hAnsiTheme="majorBidi" w:cstheme="majorBidi"/>
                <w:sz w:val="24"/>
                <w:szCs w:val="24"/>
              </w:rPr>
            </w:pPr>
            <w:r w:rsidRPr="00BA4DF0">
              <w:rPr>
                <w:rFonts w:asciiTheme="majorBidi" w:hAnsiTheme="majorBidi" w:cstheme="majorBidi"/>
                <w:sz w:val="24"/>
                <w:szCs w:val="24"/>
              </w:rPr>
              <w:t>It is significant to reexamine governance systems in light of the rapidly development of next-generation technologies. First, there is the demand for include of emerging tech governance (</w:t>
            </w:r>
            <w:r w:rsidRPr="00BA4DF0">
              <w:rPr>
                <w:rFonts w:asciiTheme="majorBidi" w:hAnsiTheme="majorBidi" w:cstheme="majorBidi"/>
                <w:color w:val="222222"/>
                <w:sz w:val="24"/>
                <w:szCs w:val="24"/>
                <w:shd w:val="clear" w:color="auto" w:fill="FFFFFF"/>
              </w:rPr>
              <w:t>Dowie et al., 2017).</w:t>
            </w:r>
            <w:r w:rsidRPr="00BA4DF0">
              <w:rPr>
                <w:rFonts w:asciiTheme="majorBidi" w:hAnsiTheme="majorBidi" w:cstheme="majorBidi"/>
                <w:sz w:val="24"/>
                <w:szCs w:val="24"/>
              </w:rPr>
              <w:t xml:space="preserve"> </w:t>
            </w:r>
            <w:r w:rsidRPr="00BA4DF0">
              <w:rPr>
                <w:rFonts w:asciiTheme="majorBidi" w:hAnsiTheme="majorBidi" w:cstheme="majorBidi"/>
                <w:color w:val="222222"/>
                <w:sz w:val="24"/>
                <w:szCs w:val="24"/>
                <w:shd w:val="clear" w:color="auto" w:fill="FFFFFF"/>
              </w:rPr>
              <w:t>This requires the inclusion of governance components that are specifically designed to manage the special risks that resources like generative AI pose</w:t>
            </w:r>
            <w:r w:rsidRPr="00BA4DF0">
              <w:rPr>
                <w:rFonts w:asciiTheme="majorBidi" w:hAnsiTheme="majorBidi" w:cstheme="majorBidi"/>
                <w:sz w:val="24"/>
                <w:szCs w:val="24"/>
              </w:rPr>
              <w:t xml:space="preserve">. corporations must establish frameworks that enable responsible adoption and decrease risks </w:t>
            </w:r>
            <w:r w:rsidRPr="00BA4DF0">
              <w:rPr>
                <w:rFonts w:asciiTheme="majorBidi" w:hAnsiTheme="majorBidi" w:cstheme="majorBidi"/>
                <w:sz w:val="24"/>
                <w:szCs w:val="24"/>
              </w:rPr>
              <w:lastRenderedPageBreak/>
              <w:t>related with data security, social implications and bias caused by algorithms. Furthermore, as data becomes more crucial in developing technological applications, privacy monitoring and data morality should become more prominent (</w:t>
            </w:r>
            <w:proofErr w:type="spellStart"/>
            <w:r w:rsidRPr="00BA4DF0">
              <w:rPr>
                <w:rFonts w:asciiTheme="majorBidi" w:hAnsiTheme="majorBidi" w:cstheme="majorBidi"/>
                <w:sz w:val="24"/>
                <w:szCs w:val="24"/>
              </w:rPr>
              <w:t>Klynveld</w:t>
            </w:r>
            <w:proofErr w:type="spellEnd"/>
            <w:r w:rsidRPr="00BA4DF0">
              <w:rPr>
                <w:rFonts w:asciiTheme="majorBidi" w:hAnsiTheme="majorBidi" w:cstheme="majorBidi"/>
                <w:sz w:val="24"/>
                <w:szCs w:val="24"/>
              </w:rPr>
              <w:t xml:space="preserve"> Peat Marwick </w:t>
            </w:r>
            <w:proofErr w:type="spellStart"/>
            <w:r w:rsidRPr="00BA4DF0">
              <w:rPr>
                <w:rFonts w:asciiTheme="majorBidi" w:hAnsiTheme="majorBidi" w:cstheme="majorBidi"/>
                <w:sz w:val="24"/>
                <w:szCs w:val="24"/>
              </w:rPr>
              <w:t>Goerdeler</w:t>
            </w:r>
            <w:proofErr w:type="spellEnd"/>
            <w:r w:rsidRPr="00BA4DF0">
              <w:rPr>
                <w:rFonts w:asciiTheme="majorBidi" w:hAnsiTheme="majorBidi" w:cstheme="majorBidi"/>
                <w:sz w:val="24"/>
                <w:szCs w:val="24"/>
              </w:rPr>
              <w:t>, n.d.). Lastly, implementing strong regulations to support ethical data practices and protect privacy is important. This entails creating precise standards for data use, permission, and safeguards.</w:t>
            </w:r>
          </w:p>
          <w:p w14:paraId="79D647A5" w14:textId="77777777" w:rsidR="006122C5" w:rsidRPr="00BA4DF0" w:rsidRDefault="006122C5" w:rsidP="00212023">
            <w:pPr>
              <w:spacing w:line="480" w:lineRule="auto"/>
              <w:contextualSpacing/>
              <w:rPr>
                <w:rFonts w:asciiTheme="majorBidi" w:hAnsiTheme="majorBidi" w:cstheme="majorBidi"/>
                <w:sz w:val="24"/>
                <w:szCs w:val="24"/>
              </w:rPr>
            </w:pPr>
          </w:p>
        </w:tc>
      </w:tr>
      <w:tr w:rsidR="006122C5" w:rsidRPr="00BA4DF0" w14:paraId="487A49F9" w14:textId="77777777" w:rsidTr="00212023">
        <w:tc>
          <w:tcPr>
            <w:tcW w:w="2689" w:type="dxa"/>
          </w:tcPr>
          <w:p w14:paraId="63A1A9EB"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lastRenderedPageBreak/>
              <w:t>Evaluate, Direct, and Monitor</w:t>
            </w:r>
          </w:p>
        </w:tc>
        <w:tc>
          <w:tcPr>
            <w:tcW w:w="2409" w:type="dxa"/>
          </w:tcPr>
          <w:p w14:paraId="4C00796E"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Ensured Risk Optimization</w:t>
            </w:r>
          </w:p>
        </w:tc>
        <w:tc>
          <w:tcPr>
            <w:tcW w:w="4252" w:type="dxa"/>
          </w:tcPr>
          <w:p w14:paraId="493F61BA"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A progressive technology risk assessment objective requires to be involved. To obtain this goal, the enterprise's risk appetite and tolerance must be constantly checked and considered when assessing the hazards related with developing technologies, such as AI (</w:t>
            </w:r>
            <w:r w:rsidRPr="00BA4DF0">
              <w:rPr>
                <w:rFonts w:asciiTheme="majorBidi" w:hAnsiTheme="majorBidi" w:cstheme="majorBidi"/>
                <w:color w:val="222222"/>
                <w:sz w:val="24"/>
                <w:szCs w:val="24"/>
                <w:shd w:val="clear" w:color="auto" w:fill="FFFFFF"/>
              </w:rPr>
              <w:t>Zio, 2018).</w:t>
            </w:r>
            <w:r w:rsidRPr="00BA4DF0">
              <w:rPr>
                <w:rFonts w:asciiTheme="majorBidi" w:hAnsiTheme="majorBidi" w:cstheme="majorBidi"/>
                <w:sz w:val="24"/>
                <w:szCs w:val="24"/>
              </w:rPr>
              <w:t xml:space="preserve"> </w:t>
            </w:r>
            <w:r w:rsidRPr="00BA4DF0">
              <w:rPr>
                <w:rFonts w:asciiTheme="majorBidi" w:hAnsiTheme="majorBidi" w:cstheme="majorBidi"/>
                <w:color w:val="222222"/>
                <w:sz w:val="24"/>
                <w:szCs w:val="24"/>
                <w:shd w:val="clear" w:color="auto" w:fill="FFFFFF"/>
              </w:rPr>
              <w:t xml:space="preserve">A technology ethical risk management goal is the second purpose that must be involved. This would serve as a stark </w:t>
            </w:r>
            <w:r w:rsidRPr="00BA4DF0">
              <w:rPr>
                <w:rFonts w:asciiTheme="majorBidi" w:hAnsiTheme="majorBidi" w:cstheme="majorBidi"/>
                <w:color w:val="222222"/>
                <w:sz w:val="24"/>
                <w:szCs w:val="24"/>
                <w:shd w:val="clear" w:color="auto" w:fill="FFFFFF"/>
              </w:rPr>
              <w:lastRenderedPageBreak/>
              <w:t>reminder of how important it is to identify the moral dilemmas that the application of cutting-edge technologies raises, making certain that the use of AI and similar tools meets with ethical guidelines, prevents bias, and supports societal values</w:t>
            </w:r>
            <w:r w:rsidRPr="00BA4DF0">
              <w:rPr>
                <w:rFonts w:asciiTheme="majorBidi" w:hAnsiTheme="majorBidi" w:cstheme="majorBidi"/>
                <w:sz w:val="24"/>
                <w:szCs w:val="24"/>
              </w:rPr>
              <w:t>. Adding an effective cybersecurity governance goal will also assist the organization in being more resilient to cyber threats posed by follow-generation technologies (</w:t>
            </w:r>
            <w:proofErr w:type="spellStart"/>
            <w:r w:rsidRPr="00BA4DF0">
              <w:rPr>
                <w:rFonts w:asciiTheme="majorBidi" w:hAnsiTheme="majorBidi" w:cstheme="majorBidi"/>
                <w:sz w:val="24"/>
                <w:szCs w:val="24"/>
              </w:rPr>
              <w:t>Klynveld</w:t>
            </w:r>
            <w:proofErr w:type="spellEnd"/>
            <w:r w:rsidRPr="00BA4DF0">
              <w:rPr>
                <w:rFonts w:asciiTheme="majorBidi" w:hAnsiTheme="majorBidi" w:cstheme="majorBidi"/>
                <w:sz w:val="24"/>
                <w:szCs w:val="24"/>
              </w:rPr>
              <w:t xml:space="preserve"> Peat Marwick </w:t>
            </w:r>
            <w:proofErr w:type="spellStart"/>
            <w:r w:rsidRPr="00BA4DF0">
              <w:rPr>
                <w:rFonts w:asciiTheme="majorBidi" w:hAnsiTheme="majorBidi" w:cstheme="majorBidi"/>
                <w:sz w:val="24"/>
                <w:szCs w:val="24"/>
              </w:rPr>
              <w:t>Goerdeler</w:t>
            </w:r>
            <w:proofErr w:type="spellEnd"/>
            <w:r w:rsidRPr="00BA4DF0">
              <w:rPr>
                <w:rFonts w:asciiTheme="majorBidi" w:hAnsiTheme="majorBidi" w:cstheme="majorBidi"/>
                <w:sz w:val="24"/>
                <w:szCs w:val="24"/>
              </w:rPr>
              <w:t xml:space="preserve">. </w:t>
            </w:r>
            <w:proofErr w:type="spellStart"/>
            <w:r w:rsidRPr="00BA4DF0">
              <w:rPr>
                <w:rFonts w:asciiTheme="majorBidi" w:hAnsiTheme="majorBidi" w:cstheme="majorBidi"/>
                <w:sz w:val="24"/>
                <w:szCs w:val="24"/>
              </w:rPr>
              <w:t>n.d</w:t>
            </w:r>
            <w:proofErr w:type="spellEnd"/>
            <w:r w:rsidRPr="00BA4DF0">
              <w:rPr>
                <w:rFonts w:asciiTheme="majorBidi" w:hAnsiTheme="majorBidi" w:cstheme="majorBidi"/>
                <w:sz w:val="24"/>
                <w:szCs w:val="24"/>
              </w:rPr>
              <w:t>). To defense against emerging threats and data comprise, this goal would spot the need to enhance cybersecurity assessment.</w:t>
            </w:r>
          </w:p>
          <w:p w14:paraId="1F950493" w14:textId="77777777" w:rsidR="006122C5" w:rsidRPr="00BA4DF0" w:rsidRDefault="006122C5" w:rsidP="00212023">
            <w:pPr>
              <w:spacing w:line="480" w:lineRule="auto"/>
              <w:contextualSpacing/>
              <w:rPr>
                <w:rFonts w:asciiTheme="majorBidi" w:hAnsiTheme="majorBidi" w:cstheme="majorBidi"/>
                <w:sz w:val="24"/>
                <w:szCs w:val="24"/>
              </w:rPr>
            </w:pPr>
          </w:p>
          <w:p w14:paraId="32DD3360" w14:textId="77777777" w:rsidR="006122C5" w:rsidRPr="00BA4DF0" w:rsidRDefault="006122C5" w:rsidP="00212023">
            <w:pPr>
              <w:spacing w:line="480" w:lineRule="auto"/>
              <w:rPr>
                <w:rFonts w:asciiTheme="majorBidi" w:hAnsiTheme="majorBidi" w:cstheme="majorBidi"/>
                <w:sz w:val="24"/>
                <w:szCs w:val="24"/>
              </w:rPr>
            </w:pPr>
          </w:p>
          <w:p w14:paraId="6B08B7A6" w14:textId="77777777" w:rsidR="006122C5" w:rsidRPr="00BA4DF0" w:rsidRDefault="006122C5" w:rsidP="00212023">
            <w:pPr>
              <w:spacing w:line="480" w:lineRule="auto"/>
              <w:contextualSpacing/>
              <w:rPr>
                <w:rFonts w:asciiTheme="majorBidi" w:hAnsiTheme="majorBidi" w:cstheme="majorBidi"/>
                <w:sz w:val="24"/>
                <w:szCs w:val="24"/>
              </w:rPr>
            </w:pPr>
          </w:p>
        </w:tc>
      </w:tr>
      <w:tr w:rsidR="006122C5" w:rsidRPr="00BA4DF0" w14:paraId="141836B5" w14:textId="77777777" w:rsidTr="00212023">
        <w:tc>
          <w:tcPr>
            <w:tcW w:w="2689" w:type="dxa"/>
          </w:tcPr>
          <w:p w14:paraId="1674BA3D"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lastRenderedPageBreak/>
              <w:t>Align, Plan, and Organize</w:t>
            </w:r>
          </w:p>
        </w:tc>
        <w:tc>
          <w:tcPr>
            <w:tcW w:w="2409" w:type="dxa"/>
          </w:tcPr>
          <w:p w14:paraId="17197567"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Managed Strategy</w:t>
            </w:r>
          </w:p>
        </w:tc>
        <w:tc>
          <w:tcPr>
            <w:tcW w:w="4252" w:type="dxa"/>
          </w:tcPr>
          <w:p w14:paraId="46B9AF95" w14:textId="77777777" w:rsidR="006122C5" w:rsidRPr="00BA4DF0" w:rsidRDefault="006122C5" w:rsidP="00212023">
            <w:pPr>
              <w:spacing w:line="480" w:lineRule="auto"/>
              <w:rPr>
                <w:rFonts w:asciiTheme="majorBidi" w:hAnsiTheme="majorBidi" w:cstheme="majorBidi"/>
                <w:sz w:val="24"/>
                <w:szCs w:val="24"/>
              </w:rPr>
            </w:pPr>
          </w:p>
          <w:p w14:paraId="5C91C5B0" w14:textId="77777777" w:rsidR="006122C5" w:rsidRPr="00BA4DF0" w:rsidRDefault="006122C5" w:rsidP="00212023">
            <w:pPr>
              <w:spacing w:line="480" w:lineRule="auto"/>
              <w:rPr>
                <w:rFonts w:asciiTheme="majorBidi" w:hAnsiTheme="majorBidi" w:cstheme="majorBidi"/>
                <w:sz w:val="24"/>
                <w:szCs w:val="24"/>
              </w:rPr>
            </w:pPr>
            <w:r w:rsidRPr="00BA4DF0">
              <w:rPr>
                <w:rFonts w:asciiTheme="majorBidi" w:hAnsiTheme="majorBidi" w:cstheme="majorBidi"/>
                <w:sz w:val="24"/>
                <w:szCs w:val="24"/>
              </w:rPr>
              <w:t xml:space="preserve">The managed strategy goals should be reviewed in light of the next-generation technologies' quick evolution, especially the creation of Generative Artificial </w:t>
            </w:r>
            <w:r w:rsidRPr="00BA4DF0">
              <w:rPr>
                <w:rFonts w:asciiTheme="majorBidi" w:hAnsiTheme="majorBidi" w:cstheme="majorBidi"/>
                <w:sz w:val="24"/>
                <w:szCs w:val="24"/>
              </w:rPr>
              <w:lastRenderedPageBreak/>
              <w:t>Intelligence (AI) and related programs. I would propose adding come-out technology integration to make these disruptive technologies highly successful. This objective emphasizes the proactive disclosure and smooth integration of next-generation technology into the company's future direction and digital strategy, motivating innovation and competition. (</w:t>
            </w:r>
            <w:proofErr w:type="spellStart"/>
            <w:r w:rsidRPr="00BA4DF0">
              <w:rPr>
                <w:rFonts w:asciiTheme="majorBidi" w:hAnsiTheme="majorBidi" w:cstheme="majorBidi"/>
                <w:sz w:val="24"/>
                <w:szCs w:val="24"/>
              </w:rPr>
              <w:t>Klynveld</w:t>
            </w:r>
            <w:proofErr w:type="spellEnd"/>
            <w:r w:rsidRPr="00BA4DF0">
              <w:rPr>
                <w:rFonts w:asciiTheme="majorBidi" w:hAnsiTheme="majorBidi" w:cstheme="majorBidi"/>
                <w:sz w:val="24"/>
                <w:szCs w:val="24"/>
              </w:rPr>
              <w:t xml:space="preserve"> Peat Marwick </w:t>
            </w:r>
            <w:proofErr w:type="spellStart"/>
            <w:r w:rsidRPr="00BA4DF0">
              <w:rPr>
                <w:rFonts w:asciiTheme="majorBidi" w:hAnsiTheme="majorBidi" w:cstheme="majorBidi"/>
                <w:sz w:val="24"/>
                <w:szCs w:val="24"/>
              </w:rPr>
              <w:t>Goerdeler</w:t>
            </w:r>
            <w:proofErr w:type="spellEnd"/>
            <w:r w:rsidRPr="00BA4DF0">
              <w:rPr>
                <w:rFonts w:asciiTheme="majorBidi" w:hAnsiTheme="majorBidi" w:cstheme="majorBidi"/>
                <w:sz w:val="24"/>
                <w:szCs w:val="24"/>
              </w:rPr>
              <w:t xml:space="preserve">. </w:t>
            </w:r>
            <w:proofErr w:type="spellStart"/>
            <w:r w:rsidRPr="00BA4DF0">
              <w:rPr>
                <w:rFonts w:asciiTheme="majorBidi" w:hAnsiTheme="majorBidi" w:cstheme="majorBidi"/>
                <w:sz w:val="24"/>
                <w:szCs w:val="24"/>
              </w:rPr>
              <w:t>n.d</w:t>
            </w:r>
            <w:proofErr w:type="spellEnd"/>
            <w:r w:rsidRPr="00BA4DF0">
              <w:rPr>
                <w:rFonts w:asciiTheme="majorBidi" w:hAnsiTheme="majorBidi" w:cstheme="majorBidi"/>
                <w:sz w:val="24"/>
                <w:szCs w:val="24"/>
              </w:rPr>
              <w:t>). Additionally, it is sage to add a digital talent growth aim that concentrates on advancing a competent workforce capable of utilizing the possibility of next-generation technology (Richardson &amp; Bissell, 2019). This goal makes certain the company is able to take benefits of new technologies in a productive way.</w:t>
            </w:r>
          </w:p>
          <w:p w14:paraId="5F59D39E" w14:textId="77777777" w:rsidR="006122C5" w:rsidRPr="00BA4DF0" w:rsidRDefault="006122C5" w:rsidP="00212023">
            <w:pPr>
              <w:spacing w:line="480" w:lineRule="auto"/>
              <w:contextualSpacing/>
              <w:rPr>
                <w:rFonts w:asciiTheme="majorBidi" w:hAnsiTheme="majorBidi" w:cstheme="majorBidi"/>
                <w:sz w:val="24"/>
                <w:szCs w:val="24"/>
              </w:rPr>
            </w:pPr>
          </w:p>
        </w:tc>
      </w:tr>
      <w:tr w:rsidR="006122C5" w:rsidRPr="00BA4DF0" w14:paraId="75D9EBAF" w14:textId="77777777" w:rsidTr="00212023">
        <w:tc>
          <w:tcPr>
            <w:tcW w:w="2689" w:type="dxa"/>
          </w:tcPr>
          <w:p w14:paraId="7FF77D37" w14:textId="77777777" w:rsidR="006122C5" w:rsidRPr="00BA4DF0" w:rsidRDefault="006122C5" w:rsidP="00212023">
            <w:pPr>
              <w:spacing w:line="480" w:lineRule="auto"/>
              <w:contextualSpacing/>
              <w:rPr>
                <w:rFonts w:asciiTheme="majorBidi" w:hAnsiTheme="majorBidi" w:cstheme="majorBidi"/>
                <w:sz w:val="24"/>
                <w:szCs w:val="24"/>
              </w:rPr>
            </w:pPr>
            <w:bookmarkStart w:id="0" w:name="_Hlk145426008"/>
            <w:r w:rsidRPr="00BA4DF0">
              <w:rPr>
                <w:rFonts w:asciiTheme="majorBidi" w:hAnsiTheme="majorBidi" w:cstheme="majorBidi"/>
                <w:sz w:val="24"/>
                <w:szCs w:val="24"/>
              </w:rPr>
              <w:lastRenderedPageBreak/>
              <w:t>Align, Plan, and Organize</w:t>
            </w:r>
          </w:p>
        </w:tc>
        <w:tc>
          <w:tcPr>
            <w:tcW w:w="2409" w:type="dxa"/>
          </w:tcPr>
          <w:p w14:paraId="548BA16A"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Managed Relationships</w:t>
            </w:r>
          </w:p>
        </w:tc>
        <w:tc>
          <w:tcPr>
            <w:tcW w:w="4252" w:type="dxa"/>
          </w:tcPr>
          <w:p w14:paraId="0BBC31DC" w14:textId="77777777" w:rsidR="006122C5" w:rsidRPr="00BA4DF0" w:rsidRDefault="006122C5" w:rsidP="00212023">
            <w:pPr>
              <w:spacing w:line="480" w:lineRule="auto"/>
              <w:rPr>
                <w:rFonts w:asciiTheme="majorBidi" w:hAnsiTheme="majorBidi" w:cstheme="majorBidi"/>
                <w:sz w:val="24"/>
                <w:szCs w:val="24"/>
              </w:rPr>
            </w:pPr>
            <w:r w:rsidRPr="00BA4DF0">
              <w:rPr>
                <w:rFonts w:asciiTheme="majorBidi" w:hAnsiTheme="majorBidi" w:cstheme="majorBidi"/>
                <w:sz w:val="24"/>
                <w:szCs w:val="24"/>
              </w:rPr>
              <w:t xml:space="preserve">The necessity to build a digital ethics and compliance purpose cannot be overstated. The prime focus of this goal would be </w:t>
            </w:r>
            <w:r w:rsidRPr="00BA4DF0">
              <w:rPr>
                <w:rFonts w:asciiTheme="majorBidi" w:hAnsiTheme="majorBidi" w:cstheme="majorBidi"/>
                <w:sz w:val="24"/>
                <w:szCs w:val="24"/>
              </w:rPr>
              <w:lastRenderedPageBreak/>
              <w:t>establishing powerful governance structures to guarantee moral application, openness, and compliance with the rules of next-generation technologies, particularly in the context of interactions with corporate owners. Another aim that can be assisted is maintaining Adaptive Engagement. It emphasizes creating an organizational culture that values ongoing learning and flexibility to keep on the cutting edge of developing technologies and to uphold dynamic and responsive associations with business stakeholders. These suggested changes reflect the need to redesign the managed relationships objectives to effectively address next-generation technologies' particular opportunities and challenges while motivating collaborative innovation, ethical governance, and agile partnerships with business stakeholders.</w:t>
            </w:r>
          </w:p>
          <w:p w14:paraId="4DD169F0" w14:textId="77777777" w:rsidR="006122C5" w:rsidRPr="00BA4DF0" w:rsidRDefault="006122C5" w:rsidP="00212023">
            <w:pPr>
              <w:spacing w:line="480" w:lineRule="auto"/>
              <w:contextualSpacing/>
              <w:rPr>
                <w:rFonts w:asciiTheme="majorBidi" w:hAnsiTheme="majorBidi" w:cstheme="majorBidi"/>
                <w:sz w:val="24"/>
                <w:szCs w:val="24"/>
              </w:rPr>
            </w:pPr>
          </w:p>
        </w:tc>
      </w:tr>
      <w:bookmarkEnd w:id="0"/>
      <w:tr w:rsidR="006122C5" w:rsidRPr="00BA4DF0" w14:paraId="62EEE27D" w14:textId="77777777" w:rsidTr="00212023">
        <w:tc>
          <w:tcPr>
            <w:tcW w:w="2689" w:type="dxa"/>
          </w:tcPr>
          <w:p w14:paraId="44338E10"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lastRenderedPageBreak/>
              <w:t>Build, Acquire, and Implement</w:t>
            </w:r>
          </w:p>
        </w:tc>
        <w:tc>
          <w:tcPr>
            <w:tcW w:w="2409" w:type="dxa"/>
          </w:tcPr>
          <w:p w14:paraId="08DDCE76"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Managed Solutions Identification and Build</w:t>
            </w:r>
          </w:p>
        </w:tc>
        <w:tc>
          <w:tcPr>
            <w:tcW w:w="4252" w:type="dxa"/>
          </w:tcPr>
          <w:p w14:paraId="404645C1"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The addition of an emerging tech integration objective is among the key ways to begin. This makes certain the necessity of proactively integrating next-generation programs, like AI, into addressing and developing resolutions to promote innovation and preserve competitiveness (Kimmons &amp; Hall, 2016). Furthermore, it is important to include a moral technology adoption purpose. This objective would emphasize the moral concerns, data privacy, and responsible AI practices inherent in searching for progressive technologically advanced solutions. finally, the Agile Development and Experimentation aim would also be practical. It emphasizes the value of agile and iterative development processes, especially when working with rapidly advancing next-generation tools. Such a strategy enables quicker examination and adaptation to unlock the full possible of these breakthroughs.</w:t>
            </w:r>
          </w:p>
        </w:tc>
      </w:tr>
      <w:tr w:rsidR="006122C5" w:rsidRPr="00BA4DF0" w14:paraId="330F9231" w14:textId="77777777" w:rsidTr="00212023">
        <w:tc>
          <w:tcPr>
            <w:tcW w:w="2689" w:type="dxa"/>
          </w:tcPr>
          <w:p w14:paraId="0173CC67"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lastRenderedPageBreak/>
              <w:t>Build, Acquire, and Implement</w:t>
            </w:r>
          </w:p>
        </w:tc>
        <w:tc>
          <w:tcPr>
            <w:tcW w:w="2409" w:type="dxa"/>
          </w:tcPr>
          <w:p w14:paraId="5275299D"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Managed IT Change Acceptance and Transitioning</w:t>
            </w:r>
          </w:p>
        </w:tc>
        <w:tc>
          <w:tcPr>
            <w:tcW w:w="4252" w:type="dxa"/>
          </w:tcPr>
          <w:p w14:paraId="73CA4D97"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Given the dynamic environment shaped by next-generation technologies, such as Generative Artificial Intelligence (AI), adjustments to the managed IT change acceptance and transitioning objectives are required. The first step is to include an objective for the technology integration strategy. This would emphasize the need for a thorough method of integrating next-generation technologies into the change acceptance and transitioning process, ensuring that their implementation perfectly aligns with company goals and expectations. It is necessary to include an objective for adopting technology that is ethical. This objective would emphasize how important it is to accept and apply cutting-edge technological solutions in an ethical and responsible manner, addressing concerns about data ethics, fairness, and accountability.</w:t>
            </w:r>
          </w:p>
        </w:tc>
      </w:tr>
      <w:tr w:rsidR="006122C5" w:rsidRPr="00BA4DF0" w14:paraId="1713286D" w14:textId="77777777" w:rsidTr="00212023">
        <w:tc>
          <w:tcPr>
            <w:tcW w:w="2689" w:type="dxa"/>
          </w:tcPr>
          <w:p w14:paraId="776830D9" w14:textId="77777777" w:rsidR="006122C5" w:rsidRPr="00BA4DF0" w:rsidRDefault="006122C5" w:rsidP="00212023">
            <w:pPr>
              <w:spacing w:line="480" w:lineRule="auto"/>
              <w:contextualSpacing/>
              <w:rPr>
                <w:rFonts w:asciiTheme="majorBidi" w:hAnsiTheme="majorBidi" w:cstheme="majorBidi"/>
                <w:sz w:val="24"/>
                <w:szCs w:val="24"/>
              </w:rPr>
            </w:pPr>
            <w:bookmarkStart w:id="1" w:name="_Hlk145427999"/>
            <w:r w:rsidRPr="00BA4DF0">
              <w:rPr>
                <w:rFonts w:asciiTheme="majorBidi" w:hAnsiTheme="majorBidi" w:cstheme="majorBidi"/>
                <w:sz w:val="24"/>
                <w:szCs w:val="24"/>
              </w:rPr>
              <w:lastRenderedPageBreak/>
              <w:t>Deliver, Service, and Support</w:t>
            </w:r>
          </w:p>
        </w:tc>
        <w:tc>
          <w:tcPr>
            <w:tcW w:w="2409" w:type="dxa"/>
          </w:tcPr>
          <w:p w14:paraId="7326E6DF"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Managed Operations</w:t>
            </w:r>
          </w:p>
        </w:tc>
        <w:tc>
          <w:tcPr>
            <w:tcW w:w="4252" w:type="dxa"/>
          </w:tcPr>
          <w:p w14:paraId="3673E489"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It is advisable to reevaluate the managed operations objectives in light of the dynamic environment built by next-generation technologies, particularly the proliferation of Generative Artificial Intelligence (AI) and related programs. The addition of the technology integration enhancement aim highlights the need to optimize the integration of next-generation technologies into operational functions, ensuring that they contribute to a rise in operational efficiency and effectiveness in providing IT services (</w:t>
            </w:r>
            <w:proofErr w:type="spellStart"/>
            <w:r w:rsidRPr="00BA4DF0">
              <w:rPr>
                <w:rFonts w:asciiTheme="majorBidi" w:hAnsiTheme="majorBidi" w:cstheme="majorBidi"/>
                <w:sz w:val="24"/>
                <w:szCs w:val="24"/>
              </w:rPr>
              <w:t>Klynveld</w:t>
            </w:r>
            <w:proofErr w:type="spellEnd"/>
            <w:r w:rsidRPr="00BA4DF0">
              <w:rPr>
                <w:rFonts w:asciiTheme="majorBidi" w:hAnsiTheme="majorBidi" w:cstheme="majorBidi"/>
                <w:sz w:val="24"/>
                <w:szCs w:val="24"/>
              </w:rPr>
              <w:t xml:space="preserve"> Peat Marwick </w:t>
            </w:r>
            <w:proofErr w:type="spellStart"/>
            <w:r w:rsidRPr="00BA4DF0">
              <w:rPr>
                <w:rFonts w:asciiTheme="majorBidi" w:hAnsiTheme="majorBidi" w:cstheme="majorBidi"/>
                <w:sz w:val="24"/>
                <w:szCs w:val="24"/>
              </w:rPr>
              <w:t>Goerdeler</w:t>
            </w:r>
            <w:proofErr w:type="spellEnd"/>
            <w:r w:rsidRPr="00BA4DF0">
              <w:rPr>
                <w:rFonts w:asciiTheme="majorBidi" w:hAnsiTheme="majorBidi" w:cstheme="majorBidi"/>
                <w:sz w:val="24"/>
                <w:szCs w:val="24"/>
              </w:rPr>
              <w:t xml:space="preserve">. </w:t>
            </w:r>
            <w:proofErr w:type="spellStart"/>
            <w:r w:rsidRPr="00BA4DF0">
              <w:rPr>
                <w:rFonts w:asciiTheme="majorBidi" w:hAnsiTheme="majorBidi" w:cstheme="majorBidi"/>
                <w:sz w:val="24"/>
                <w:szCs w:val="24"/>
              </w:rPr>
              <w:t>n.d</w:t>
            </w:r>
            <w:proofErr w:type="spellEnd"/>
            <w:r w:rsidRPr="00BA4DF0">
              <w:rPr>
                <w:rFonts w:asciiTheme="majorBidi" w:hAnsiTheme="majorBidi" w:cstheme="majorBidi"/>
                <w:sz w:val="24"/>
                <w:szCs w:val="24"/>
              </w:rPr>
              <w:t xml:space="preserve">). Adding an ethical technology implementation objective is also significant. This goal would spot how crucial it is to apply next-generation technology morally and responsibly, identifying problems with data ethics, fairness, and accountability within operational procedures. Additionally, being helpful may be a talent </w:t>
            </w:r>
            <w:r w:rsidRPr="00BA4DF0">
              <w:rPr>
                <w:rFonts w:asciiTheme="majorBidi" w:hAnsiTheme="majorBidi" w:cstheme="majorBidi"/>
                <w:sz w:val="24"/>
                <w:szCs w:val="24"/>
              </w:rPr>
              <w:lastRenderedPageBreak/>
              <w:t>improvement and development objective. It would serve as a reminder of the crucial of equipping the workforce with the abilities required to efficiently control and utilize next-generation technology in operational missions, which are constantly evolving.</w:t>
            </w:r>
          </w:p>
        </w:tc>
      </w:tr>
      <w:tr w:rsidR="006122C5" w:rsidRPr="00BA4DF0" w14:paraId="4480C61D" w14:textId="77777777" w:rsidTr="00212023">
        <w:tc>
          <w:tcPr>
            <w:tcW w:w="2689" w:type="dxa"/>
          </w:tcPr>
          <w:p w14:paraId="55028A1B" w14:textId="77777777" w:rsidR="006122C5" w:rsidRPr="00BA4DF0" w:rsidRDefault="006122C5" w:rsidP="00212023">
            <w:pPr>
              <w:spacing w:line="480" w:lineRule="auto"/>
              <w:contextualSpacing/>
              <w:rPr>
                <w:rFonts w:asciiTheme="majorBidi" w:hAnsiTheme="majorBidi" w:cstheme="majorBidi"/>
                <w:sz w:val="24"/>
                <w:szCs w:val="24"/>
              </w:rPr>
            </w:pPr>
            <w:bookmarkStart w:id="2" w:name="_Hlk145428746"/>
            <w:bookmarkEnd w:id="1"/>
            <w:r w:rsidRPr="00BA4DF0">
              <w:rPr>
                <w:rFonts w:asciiTheme="majorBidi" w:hAnsiTheme="majorBidi" w:cstheme="majorBidi"/>
                <w:sz w:val="24"/>
                <w:szCs w:val="24"/>
              </w:rPr>
              <w:lastRenderedPageBreak/>
              <w:t>Deliver, Service, and Support</w:t>
            </w:r>
          </w:p>
        </w:tc>
        <w:tc>
          <w:tcPr>
            <w:tcW w:w="2409" w:type="dxa"/>
          </w:tcPr>
          <w:p w14:paraId="5D79039A"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Managed Problems</w:t>
            </w:r>
          </w:p>
        </w:tc>
        <w:tc>
          <w:tcPr>
            <w:tcW w:w="4252" w:type="dxa"/>
          </w:tcPr>
          <w:p w14:paraId="068C03F7" w14:textId="77777777" w:rsidR="006122C5" w:rsidRPr="00BA4DF0" w:rsidRDefault="006122C5" w:rsidP="00212023">
            <w:pPr>
              <w:spacing w:line="480" w:lineRule="auto"/>
              <w:contextualSpacing/>
              <w:rPr>
                <w:rFonts w:asciiTheme="majorBidi" w:hAnsiTheme="majorBidi" w:cstheme="majorBidi"/>
                <w:color w:val="222222"/>
                <w:sz w:val="24"/>
                <w:szCs w:val="24"/>
                <w:shd w:val="clear" w:color="auto" w:fill="FFFFFF"/>
              </w:rPr>
            </w:pPr>
            <w:r w:rsidRPr="00BA4DF0">
              <w:rPr>
                <w:rFonts w:asciiTheme="majorBidi" w:hAnsiTheme="majorBidi" w:cstheme="majorBidi"/>
                <w:color w:val="222222"/>
                <w:sz w:val="24"/>
                <w:szCs w:val="24"/>
                <w:shd w:val="clear" w:color="auto" w:fill="FFFFFF"/>
              </w:rPr>
              <w:t xml:space="preserve">The addition of the technology-centric issues resolution objective will spot the need for specialized methods to realize and categorize issues brought on by cutting-edge technologies, make sure efficient resolution and recurrence blockage. Additionally, the inclusion of an ethical tech problem-solving objective is also important. In the context of operational procedures, including next-generation technology, especially AI, it would locate ethical considerations, justice challenges, and accountability challenges (Richardson, &amp; Bissell, 2019). Lastly, developing an objective for maintaining learning and adaptation </w:t>
            </w:r>
            <w:r w:rsidRPr="00BA4DF0">
              <w:rPr>
                <w:rFonts w:asciiTheme="majorBidi" w:hAnsiTheme="majorBidi" w:cstheme="majorBidi"/>
                <w:color w:val="222222"/>
                <w:sz w:val="24"/>
                <w:szCs w:val="24"/>
                <w:shd w:val="clear" w:color="auto" w:fill="FFFFFF"/>
              </w:rPr>
              <w:lastRenderedPageBreak/>
              <w:t>could be helpful. It highlights the significance of encouraging a culture of continuous learning and adaptation within problem-solving teams to efficiently manage and react to difficulties provided by rapidly developing next-gen technology.</w:t>
            </w:r>
          </w:p>
        </w:tc>
      </w:tr>
      <w:tr w:rsidR="006122C5" w:rsidRPr="00BA4DF0" w14:paraId="6DB91F1D" w14:textId="77777777" w:rsidTr="00212023">
        <w:tc>
          <w:tcPr>
            <w:tcW w:w="2689" w:type="dxa"/>
          </w:tcPr>
          <w:p w14:paraId="1B3D26E5" w14:textId="77777777" w:rsidR="006122C5" w:rsidRPr="00BA4DF0" w:rsidRDefault="006122C5" w:rsidP="00212023">
            <w:pPr>
              <w:spacing w:line="480" w:lineRule="auto"/>
              <w:contextualSpacing/>
              <w:rPr>
                <w:rFonts w:asciiTheme="majorBidi" w:hAnsiTheme="majorBidi" w:cstheme="majorBidi"/>
                <w:sz w:val="24"/>
                <w:szCs w:val="24"/>
              </w:rPr>
            </w:pPr>
            <w:bookmarkStart w:id="3" w:name="_Hlk145429432"/>
            <w:bookmarkEnd w:id="2"/>
            <w:r w:rsidRPr="00BA4DF0">
              <w:rPr>
                <w:rFonts w:asciiTheme="majorBidi" w:hAnsiTheme="majorBidi" w:cstheme="majorBidi"/>
                <w:sz w:val="24"/>
                <w:szCs w:val="24"/>
              </w:rPr>
              <w:lastRenderedPageBreak/>
              <w:t>Monitor, Evaluate, and Assess</w:t>
            </w:r>
          </w:p>
        </w:tc>
        <w:tc>
          <w:tcPr>
            <w:tcW w:w="2409" w:type="dxa"/>
          </w:tcPr>
          <w:p w14:paraId="1409E94C"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Managed System of Internal Control</w:t>
            </w:r>
          </w:p>
        </w:tc>
        <w:tc>
          <w:tcPr>
            <w:tcW w:w="4252" w:type="dxa"/>
          </w:tcPr>
          <w:p w14:paraId="5B47D4BC"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 xml:space="preserve">In light of the dynamic environment created by next-generation technologies, particularly the development of generative artificial intelligence (AI) and related advancements, the managed system of internal control objectives must be rereviewed for relevance and effectiveness. the inclusion of a new evaluation goal for technology integration. This would emphasize the need for professional evaluations to determine the seamless integration of cutting-edge technologies into the control environment, ensuring compliance with internal control standards and the early discovery of any flaws. A constant risk </w:t>
            </w:r>
            <w:r w:rsidRPr="00BA4DF0">
              <w:rPr>
                <w:rFonts w:asciiTheme="majorBidi" w:hAnsiTheme="majorBidi" w:cstheme="majorBidi"/>
                <w:sz w:val="24"/>
                <w:szCs w:val="24"/>
              </w:rPr>
              <w:lastRenderedPageBreak/>
              <w:t>evaluation objective would also be advantageous. It emphasizes the value of ongoing risk assessments to guarantee internal controls are effective in locating new risks, especially given how rapidly next-generation technologies are developing (Zio, 2018).</w:t>
            </w:r>
          </w:p>
        </w:tc>
      </w:tr>
      <w:bookmarkEnd w:id="3"/>
      <w:tr w:rsidR="006122C5" w:rsidRPr="00BA4DF0" w14:paraId="61D4ED51" w14:textId="77777777" w:rsidTr="00212023">
        <w:tc>
          <w:tcPr>
            <w:tcW w:w="2689" w:type="dxa"/>
          </w:tcPr>
          <w:p w14:paraId="71EB8E2C"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lastRenderedPageBreak/>
              <w:t>Monitor, Evaluate, and Assess</w:t>
            </w:r>
          </w:p>
        </w:tc>
        <w:tc>
          <w:tcPr>
            <w:tcW w:w="2409" w:type="dxa"/>
          </w:tcPr>
          <w:p w14:paraId="74BA2AE3"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Managed Compliance With External Requirements</w:t>
            </w:r>
          </w:p>
        </w:tc>
        <w:tc>
          <w:tcPr>
            <w:tcW w:w="4252" w:type="dxa"/>
          </w:tcPr>
          <w:p w14:paraId="250C3EE0" w14:textId="77777777" w:rsidR="006122C5" w:rsidRPr="00BA4DF0" w:rsidRDefault="006122C5" w:rsidP="00212023">
            <w:pPr>
              <w:spacing w:line="480" w:lineRule="auto"/>
              <w:contextualSpacing/>
              <w:rPr>
                <w:rFonts w:asciiTheme="majorBidi" w:hAnsiTheme="majorBidi" w:cstheme="majorBidi"/>
                <w:sz w:val="24"/>
                <w:szCs w:val="24"/>
              </w:rPr>
            </w:pPr>
            <w:r w:rsidRPr="00BA4DF0">
              <w:rPr>
                <w:rFonts w:asciiTheme="majorBidi" w:hAnsiTheme="majorBidi" w:cstheme="majorBidi"/>
                <w:sz w:val="24"/>
                <w:szCs w:val="24"/>
              </w:rPr>
              <w:t xml:space="preserve">The managed compliance with external needs objectives must be reevaluated for comprehensiveness and relevance in light of the changing environment brought about by next-generation technologies, especially the proliferation of Generative Artificial Intelligence (AI) and similar innovations. I propose including a technology compliance evaluation objective. This would highlight the necessity for specialized evaluations to guarantee that next-generation technologies, like AI, align with and follow external criteria, involving legal, regulatory, and contractual measures. Additionally, it is critical to introduce an </w:t>
            </w:r>
            <w:r w:rsidRPr="00BA4DF0">
              <w:rPr>
                <w:rFonts w:asciiTheme="majorBidi" w:hAnsiTheme="majorBidi" w:cstheme="majorBidi"/>
                <w:sz w:val="24"/>
                <w:szCs w:val="24"/>
              </w:rPr>
              <w:lastRenderedPageBreak/>
              <w:t>ethical tech governance purpose. The emphasis would be on building and preserving governance structures that guarantee the moral and responsible application of cutting-edge technologies within compliance initiatives. Also helpful may be a dynamic compliance-monitoring goal. It emphasizes the significance of ongoing and real-time monitoring, especially regarding fast-advancing next-generation technology, to find and address compliance issues proactively.</w:t>
            </w:r>
          </w:p>
        </w:tc>
      </w:tr>
    </w:tbl>
    <w:p w14:paraId="40A12361" w14:textId="77777777" w:rsidR="006122C5" w:rsidRPr="00BA4DF0" w:rsidRDefault="006122C5" w:rsidP="006122C5">
      <w:pPr>
        <w:spacing w:after="0" w:line="480" w:lineRule="auto"/>
        <w:contextualSpacing/>
        <w:jc w:val="center"/>
        <w:rPr>
          <w:rFonts w:asciiTheme="majorBidi" w:hAnsiTheme="majorBidi" w:cstheme="majorBidi"/>
          <w:b/>
          <w:sz w:val="24"/>
          <w:szCs w:val="24"/>
        </w:rPr>
      </w:pPr>
    </w:p>
    <w:p w14:paraId="00D709BF" w14:textId="77777777" w:rsidR="006122C5" w:rsidRPr="00BA4DF0" w:rsidRDefault="006122C5" w:rsidP="006122C5">
      <w:pPr>
        <w:spacing w:after="0" w:line="480" w:lineRule="auto"/>
        <w:contextualSpacing/>
        <w:jc w:val="center"/>
        <w:rPr>
          <w:rFonts w:asciiTheme="majorBidi" w:hAnsiTheme="majorBidi" w:cstheme="majorBidi"/>
          <w:b/>
          <w:sz w:val="24"/>
          <w:szCs w:val="24"/>
        </w:rPr>
      </w:pPr>
    </w:p>
    <w:p w14:paraId="549D9F21" w14:textId="77777777" w:rsidR="006122C5" w:rsidRPr="00BA4DF0" w:rsidRDefault="006122C5" w:rsidP="006122C5">
      <w:pPr>
        <w:spacing w:after="0" w:line="480" w:lineRule="auto"/>
        <w:contextualSpacing/>
        <w:jc w:val="center"/>
        <w:rPr>
          <w:rFonts w:asciiTheme="majorBidi" w:hAnsiTheme="majorBidi" w:cstheme="majorBidi"/>
          <w:b/>
          <w:sz w:val="24"/>
          <w:szCs w:val="24"/>
        </w:rPr>
      </w:pPr>
    </w:p>
    <w:p w14:paraId="3DEE9E6A" w14:textId="77777777" w:rsidR="006122C5" w:rsidRPr="00BA4DF0" w:rsidRDefault="006122C5" w:rsidP="006122C5">
      <w:pPr>
        <w:spacing w:after="0" w:line="480" w:lineRule="auto"/>
        <w:contextualSpacing/>
        <w:jc w:val="center"/>
        <w:rPr>
          <w:rFonts w:asciiTheme="majorBidi" w:hAnsiTheme="majorBidi" w:cstheme="majorBidi"/>
          <w:b/>
          <w:sz w:val="24"/>
          <w:szCs w:val="24"/>
        </w:rPr>
      </w:pPr>
    </w:p>
    <w:p w14:paraId="06401D41" w14:textId="77777777" w:rsidR="006122C5" w:rsidRPr="00BA4DF0" w:rsidRDefault="006122C5" w:rsidP="006122C5">
      <w:pPr>
        <w:spacing w:after="0" w:line="480" w:lineRule="auto"/>
        <w:contextualSpacing/>
        <w:jc w:val="center"/>
        <w:rPr>
          <w:rFonts w:asciiTheme="majorBidi" w:hAnsiTheme="majorBidi" w:cstheme="majorBidi"/>
          <w:b/>
          <w:sz w:val="24"/>
          <w:szCs w:val="24"/>
        </w:rPr>
      </w:pPr>
    </w:p>
    <w:p w14:paraId="64AF0ACC" w14:textId="77777777" w:rsidR="006122C5" w:rsidRPr="00BA4DF0" w:rsidRDefault="006122C5" w:rsidP="006122C5">
      <w:pPr>
        <w:spacing w:after="0" w:line="480" w:lineRule="auto"/>
        <w:contextualSpacing/>
        <w:rPr>
          <w:rFonts w:asciiTheme="majorBidi" w:hAnsiTheme="majorBidi" w:cstheme="majorBidi"/>
          <w:b/>
          <w:sz w:val="24"/>
          <w:szCs w:val="24"/>
        </w:rPr>
      </w:pPr>
    </w:p>
    <w:p w14:paraId="2A3E1930" w14:textId="77777777" w:rsidR="006122C5" w:rsidRPr="00BA4DF0" w:rsidRDefault="006122C5" w:rsidP="006122C5">
      <w:pPr>
        <w:spacing w:after="0" w:line="480" w:lineRule="auto"/>
        <w:contextualSpacing/>
        <w:rPr>
          <w:rFonts w:asciiTheme="majorBidi" w:hAnsiTheme="majorBidi" w:cstheme="majorBidi"/>
          <w:b/>
          <w:sz w:val="24"/>
          <w:szCs w:val="24"/>
        </w:rPr>
      </w:pPr>
    </w:p>
    <w:p w14:paraId="2B59218D" w14:textId="77777777" w:rsidR="006122C5" w:rsidRPr="00BA4DF0" w:rsidRDefault="006122C5" w:rsidP="006122C5">
      <w:pPr>
        <w:spacing w:after="0" w:line="480" w:lineRule="auto"/>
        <w:contextualSpacing/>
        <w:rPr>
          <w:rFonts w:asciiTheme="majorBidi" w:hAnsiTheme="majorBidi" w:cstheme="majorBidi"/>
          <w:b/>
          <w:sz w:val="24"/>
          <w:szCs w:val="24"/>
        </w:rPr>
      </w:pPr>
    </w:p>
    <w:p w14:paraId="1568F345" w14:textId="77777777" w:rsidR="006122C5" w:rsidRPr="00BA4DF0" w:rsidRDefault="006122C5" w:rsidP="006122C5">
      <w:pPr>
        <w:spacing w:after="0" w:line="480" w:lineRule="auto"/>
        <w:contextualSpacing/>
        <w:rPr>
          <w:rFonts w:asciiTheme="majorBidi" w:hAnsiTheme="majorBidi" w:cstheme="majorBidi"/>
          <w:b/>
          <w:sz w:val="24"/>
          <w:szCs w:val="24"/>
        </w:rPr>
      </w:pPr>
    </w:p>
    <w:p w14:paraId="764957C2" w14:textId="77777777" w:rsidR="006122C5" w:rsidRPr="00BA4DF0" w:rsidRDefault="006122C5" w:rsidP="006122C5">
      <w:pPr>
        <w:spacing w:after="0" w:line="480" w:lineRule="auto"/>
        <w:contextualSpacing/>
        <w:rPr>
          <w:rFonts w:asciiTheme="majorBidi" w:hAnsiTheme="majorBidi" w:cstheme="majorBidi"/>
          <w:b/>
          <w:sz w:val="24"/>
          <w:szCs w:val="24"/>
        </w:rPr>
      </w:pPr>
    </w:p>
    <w:p w14:paraId="76B8A86E" w14:textId="03C7A6B5" w:rsidR="006122C5" w:rsidRDefault="006122C5" w:rsidP="006122C5">
      <w:pPr>
        <w:spacing w:after="0" w:line="480" w:lineRule="auto"/>
        <w:contextualSpacing/>
        <w:rPr>
          <w:rFonts w:asciiTheme="majorBidi" w:hAnsiTheme="majorBidi" w:cstheme="majorBidi"/>
          <w:b/>
          <w:sz w:val="24"/>
          <w:szCs w:val="24"/>
        </w:rPr>
      </w:pPr>
    </w:p>
    <w:p w14:paraId="1D530DD8" w14:textId="1646DF92" w:rsidR="00254BBC" w:rsidRDefault="00254BBC" w:rsidP="006122C5">
      <w:pPr>
        <w:spacing w:after="0" w:line="480" w:lineRule="auto"/>
        <w:contextualSpacing/>
        <w:rPr>
          <w:rFonts w:asciiTheme="majorBidi" w:hAnsiTheme="majorBidi" w:cstheme="majorBidi"/>
          <w:b/>
          <w:sz w:val="24"/>
          <w:szCs w:val="24"/>
        </w:rPr>
      </w:pPr>
    </w:p>
    <w:p w14:paraId="37FBABF9" w14:textId="4D013152" w:rsidR="00254BBC" w:rsidRDefault="00254BBC" w:rsidP="006122C5">
      <w:pPr>
        <w:spacing w:after="0" w:line="480" w:lineRule="auto"/>
        <w:contextualSpacing/>
        <w:rPr>
          <w:rFonts w:asciiTheme="majorBidi" w:hAnsiTheme="majorBidi" w:cstheme="majorBidi"/>
          <w:b/>
          <w:sz w:val="24"/>
          <w:szCs w:val="24"/>
        </w:rPr>
      </w:pPr>
    </w:p>
    <w:p w14:paraId="41CDE3AA" w14:textId="12A3D889" w:rsidR="00254BBC" w:rsidRDefault="00254BBC" w:rsidP="006122C5">
      <w:pPr>
        <w:spacing w:after="0" w:line="480" w:lineRule="auto"/>
        <w:contextualSpacing/>
        <w:rPr>
          <w:rFonts w:asciiTheme="majorBidi" w:hAnsiTheme="majorBidi" w:cstheme="majorBidi"/>
          <w:b/>
          <w:sz w:val="24"/>
          <w:szCs w:val="24"/>
        </w:rPr>
      </w:pPr>
    </w:p>
    <w:p w14:paraId="32B6C933" w14:textId="295183AB" w:rsidR="00254BBC" w:rsidRDefault="00254BBC" w:rsidP="006122C5">
      <w:pPr>
        <w:spacing w:after="0" w:line="480" w:lineRule="auto"/>
        <w:contextualSpacing/>
        <w:rPr>
          <w:rFonts w:asciiTheme="majorBidi" w:hAnsiTheme="majorBidi" w:cstheme="majorBidi"/>
          <w:b/>
          <w:sz w:val="24"/>
          <w:szCs w:val="24"/>
        </w:rPr>
      </w:pPr>
    </w:p>
    <w:p w14:paraId="3734FE4E" w14:textId="070CBF3F" w:rsidR="00254BBC" w:rsidRDefault="00254BBC" w:rsidP="006122C5">
      <w:pPr>
        <w:spacing w:after="0" w:line="480" w:lineRule="auto"/>
        <w:contextualSpacing/>
        <w:rPr>
          <w:rFonts w:asciiTheme="majorBidi" w:hAnsiTheme="majorBidi" w:cstheme="majorBidi"/>
          <w:b/>
          <w:sz w:val="24"/>
          <w:szCs w:val="24"/>
        </w:rPr>
      </w:pPr>
    </w:p>
    <w:p w14:paraId="0F117D40" w14:textId="2CFEBDEB" w:rsidR="00254BBC" w:rsidRDefault="00254BBC" w:rsidP="006122C5">
      <w:pPr>
        <w:spacing w:after="0" w:line="480" w:lineRule="auto"/>
        <w:contextualSpacing/>
        <w:rPr>
          <w:rFonts w:asciiTheme="majorBidi" w:hAnsiTheme="majorBidi" w:cstheme="majorBidi"/>
          <w:b/>
          <w:sz w:val="24"/>
          <w:szCs w:val="24"/>
        </w:rPr>
      </w:pPr>
    </w:p>
    <w:p w14:paraId="43C8A6A7" w14:textId="77777777" w:rsidR="00254BBC" w:rsidRPr="00BA4DF0" w:rsidRDefault="00254BBC" w:rsidP="006122C5">
      <w:pPr>
        <w:spacing w:after="0" w:line="480" w:lineRule="auto"/>
        <w:contextualSpacing/>
        <w:rPr>
          <w:rFonts w:asciiTheme="majorBidi" w:hAnsiTheme="majorBidi" w:cstheme="majorBidi"/>
          <w:b/>
          <w:sz w:val="24"/>
          <w:szCs w:val="24"/>
        </w:rPr>
      </w:pPr>
    </w:p>
    <w:p w14:paraId="25228703" w14:textId="77777777" w:rsidR="006122C5" w:rsidRPr="00BA4DF0" w:rsidRDefault="006122C5" w:rsidP="006122C5">
      <w:pPr>
        <w:spacing w:after="0" w:line="480" w:lineRule="auto"/>
        <w:contextualSpacing/>
        <w:rPr>
          <w:rFonts w:asciiTheme="majorBidi" w:hAnsiTheme="majorBidi" w:cstheme="majorBidi"/>
          <w:b/>
          <w:sz w:val="24"/>
          <w:szCs w:val="24"/>
        </w:rPr>
      </w:pPr>
    </w:p>
    <w:p w14:paraId="38A24C17" w14:textId="77777777" w:rsidR="006122C5" w:rsidRPr="00BA4DF0" w:rsidRDefault="006122C5" w:rsidP="006122C5">
      <w:pPr>
        <w:spacing w:after="0" w:line="480" w:lineRule="auto"/>
        <w:contextualSpacing/>
        <w:rPr>
          <w:rFonts w:asciiTheme="majorBidi" w:hAnsiTheme="majorBidi" w:cstheme="majorBidi"/>
          <w:b/>
          <w:sz w:val="24"/>
          <w:szCs w:val="24"/>
        </w:rPr>
      </w:pPr>
    </w:p>
    <w:p w14:paraId="454DEB91" w14:textId="77777777" w:rsidR="006122C5" w:rsidRPr="00BA4DF0" w:rsidRDefault="006122C5" w:rsidP="006122C5">
      <w:pPr>
        <w:spacing w:after="0" w:line="480" w:lineRule="auto"/>
        <w:contextualSpacing/>
        <w:rPr>
          <w:rFonts w:asciiTheme="majorBidi" w:hAnsiTheme="majorBidi" w:cstheme="majorBidi"/>
          <w:b/>
          <w:sz w:val="24"/>
          <w:szCs w:val="24"/>
        </w:rPr>
      </w:pPr>
    </w:p>
    <w:sdt>
      <w:sdtPr>
        <w:id w:val="1965534866"/>
        <w:docPartObj>
          <w:docPartGallery w:val="Bibliographies"/>
          <w:docPartUnique/>
        </w:docPartObj>
      </w:sdtPr>
      <w:sdtContent>
        <w:p w14:paraId="4A82B742" w14:textId="667B4CEF" w:rsidR="00254BBC" w:rsidRPr="00254BBC" w:rsidRDefault="00254BBC" w:rsidP="00254BBC">
          <w:pPr>
            <w:spacing w:after="0" w:line="480" w:lineRule="auto"/>
            <w:contextualSpacing/>
            <w:jc w:val="center"/>
            <w:rPr>
              <w:rFonts w:ascii="Times New Roman" w:hAnsi="Times New Roman" w:cs="Times New Roman"/>
              <w:b/>
              <w:sz w:val="24"/>
              <w:szCs w:val="24"/>
            </w:rPr>
          </w:pPr>
          <w:r w:rsidRPr="00DC7D6A">
            <w:rPr>
              <w:rFonts w:ascii="Times New Roman" w:hAnsi="Times New Roman" w:cs="Times New Roman"/>
              <w:b/>
              <w:sz w:val="24"/>
              <w:szCs w:val="24"/>
            </w:rPr>
            <w:t>References</w:t>
          </w:r>
        </w:p>
        <w:sdt>
          <w:sdtPr>
            <w:id w:val="111145805"/>
            <w:bibliography/>
          </w:sdtPr>
          <w:sdtContent>
            <w:p w14:paraId="426CA729" w14:textId="77777777" w:rsidR="00254BBC" w:rsidRPr="00254BBC" w:rsidRDefault="00254BBC" w:rsidP="00254BBC">
              <w:pPr>
                <w:pStyle w:val="Bibliography"/>
                <w:spacing w:line="480" w:lineRule="auto"/>
                <w:ind w:left="720" w:hanging="720"/>
                <w:rPr>
                  <w:rFonts w:asciiTheme="majorBidi" w:hAnsiTheme="majorBidi" w:cstheme="majorBidi"/>
                  <w:noProof/>
                  <w:sz w:val="24"/>
                  <w:szCs w:val="24"/>
                </w:rPr>
              </w:pPr>
              <w:r>
                <w:fldChar w:fldCharType="begin"/>
              </w:r>
              <w:r>
                <w:instrText xml:space="preserve"> BIBLIOGRAPHY </w:instrText>
              </w:r>
              <w:r>
                <w:fldChar w:fldCharType="separate"/>
              </w:r>
              <w:r w:rsidRPr="00254BBC">
                <w:rPr>
                  <w:rFonts w:asciiTheme="majorBidi" w:hAnsiTheme="majorBidi" w:cstheme="majorBidi"/>
                  <w:noProof/>
                  <w:sz w:val="24"/>
                  <w:szCs w:val="24"/>
                </w:rPr>
                <w:t xml:space="preserve">Andales, J. ( 2023, Sep 10 ). </w:t>
              </w:r>
              <w:r w:rsidRPr="00254BBC">
                <w:rPr>
                  <w:rFonts w:asciiTheme="majorBidi" w:hAnsiTheme="majorBidi" w:cstheme="majorBidi"/>
                  <w:i/>
                  <w:iCs/>
                  <w:noProof/>
                  <w:sz w:val="24"/>
                  <w:szCs w:val="24"/>
                </w:rPr>
                <w:t>Risk Assessment</w:t>
              </w:r>
              <w:r w:rsidRPr="00254BBC">
                <w:rPr>
                  <w:rFonts w:asciiTheme="majorBidi" w:hAnsiTheme="majorBidi" w:cstheme="majorBidi"/>
                  <w:noProof/>
                  <w:sz w:val="24"/>
                  <w:szCs w:val="24"/>
                </w:rPr>
                <w:t>. Retrieved from safetyculture: https://safetyculture.com/topics/risk-assessment/</w:t>
              </w:r>
            </w:p>
            <w:p w14:paraId="5D559E31" w14:textId="4205B9E9" w:rsidR="00254BBC" w:rsidRPr="00254BBC" w:rsidRDefault="00254BBC" w:rsidP="00254BBC">
              <w:pPr>
                <w:pStyle w:val="Bibliography"/>
                <w:spacing w:line="480" w:lineRule="auto"/>
                <w:ind w:left="720" w:hanging="720"/>
                <w:rPr>
                  <w:rFonts w:asciiTheme="majorBidi" w:hAnsiTheme="majorBidi" w:cstheme="majorBidi"/>
                  <w:noProof/>
                  <w:sz w:val="24"/>
                  <w:szCs w:val="24"/>
                </w:rPr>
              </w:pPr>
              <w:r w:rsidRPr="00254BBC">
                <w:rPr>
                  <w:rFonts w:asciiTheme="majorBidi" w:hAnsiTheme="majorBidi" w:cstheme="majorBidi"/>
                  <w:noProof/>
                  <w:sz w:val="24"/>
                  <w:szCs w:val="24"/>
                </w:rPr>
                <w:t xml:space="preserve">Padilla, H. (2022, Nov 15). </w:t>
              </w:r>
              <w:r w:rsidRPr="00254BBC">
                <w:rPr>
                  <w:rFonts w:asciiTheme="majorBidi" w:hAnsiTheme="majorBidi" w:cstheme="majorBidi"/>
                  <w:i/>
                  <w:iCs/>
                  <w:noProof/>
                  <w:sz w:val="24"/>
                  <w:szCs w:val="24"/>
                </w:rPr>
                <w:t>Financial Audit: Securities and Exchange Commission's FY 2022 and FY 2021 Financial Statements</w:t>
              </w:r>
              <w:r w:rsidRPr="00254BBC">
                <w:rPr>
                  <w:rFonts w:asciiTheme="majorBidi" w:hAnsiTheme="majorBidi" w:cstheme="majorBidi"/>
                  <w:noProof/>
                  <w:sz w:val="24"/>
                  <w:szCs w:val="24"/>
                </w:rPr>
                <w:t>. Retrieved from GAO: https://www.gao.gov/products/gao-23-105791#:~:text=SEC%20is%20required%20by%20law,Office%20of%20Management%20and%20Budget.</w:t>
              </w:r>
            </w:p>
            <w:p w14:paraId="3E8CE421" w14:textId="77777777" w:rsidR="00254BBC" w:rsidRPr="00254BBC" w:rsidRDefault="00254BBC" w:rsidP="00254BBC">
              <w:pPr>
                <w:spacing w:after="0" w:line="480" w:lineRule="auto"/>
                <w:ind w:left="720" w:hanging="720"/>
                <w:contextualSpacing/>
                <w:rPr>
                  <w:rFonts w:asciiTheme="majorBidi" w:hAnsiTheme="majorBidi" w:cstheme="majorBidi"/>
                  <w:color w:val="222222"/>
                  <w:sz w:val="24"/>
                  <w:szCs w:val="24"/>
                  <w:shd w:val="clear" w:color="auto" w:fill="FFFFFF"/>
                </w:rPr>
              </w:pPr>
              <w:bookmarkStart w:id="4" w:name="_Hlk145512688"/>
              <w:r w:rsidRPr="00254BBC">
                <w:rPr>
                  <w:rFonts w:asciiTheme="majorBidi" w:hAnsiTheme="majorBidi" w:cstheme="majorBidi"/>
                  <w:color w:val="222222"/>
                  <w:sz w:val="24"/>
                  <w:szCs w:val="24"/>
                  <w:shd w:val="clear" w:color="auto" w:fill="FFFFFF"/>
                </w:rPr>
                <w:t>Dowie, J., Henningsson, S., Kude, T., &amp; Popp, K. (2017). Merging platform ecosystems in technology acquisitions: A governance perspective. In </w:t>
              </w:r>
              <w:r w:rsidRPr="00254BBC">
                <w:rPr>
                  <w:rFonts w:asciiTheme="majorBidi" w:hAnsiTheme="majorBidi" w:cstheme="majorBidi"/>
                  <w:i/>
                  <w:iCs/>
                  <w:color w:val="222222"/>
                  <w:sz w:val="24"/>
                  <w:szCs w:val="24"/>
                  <w:shd w:val="clear" w:color="auto" w:fill="FFFFFF"/>
                </w:rPr>
                <w:t>25th European Conference on Information Systems, ECIS 2017</w:t>
              </w:r>
              <w:r w:rsidRPr="00254BBC">
                <w:rPr>
                  <w:rFonts w:asciiTheme="majorBidi" w:hAnsiTheme="majorBidi" w:cstheme="majorBidi"/>
                  <w:color w:val="222222"/>
                  <w:sz w:val="24"/>
                  <w:szCs w:val="24"/>
                  <w:shd w:val="clear" w:color="auto" w:fill="FFFFFF"/>
                </w:rPr>
                <w:t> (pp. 2301-2316). Association for Information Systems. AIS Electronic Library (AISeL).</w:t>
              </w:r>
            </w:p>
            <w:p w14:paraId="3E18AA8B" w14:textId="77777777" w:rsidR="00254BBC" w:rsidRPr="00254BBC" w:rsidRDefault="00254BBC" w:rsidP="00254BBC">
              <w:pPr>
                <w:spacing w:after="0" w:line="480" w:lineRule="auto"/>
                <w:ind w:left="720" w:hanging="720"/>
                <w:contextualSpacing/>
                <w:rPr>
                  <w:rFonts w:asciiTheme="majorBidi" w:hAnsiTheme="majorBidi" w:cstheme="majorBidi"/>
                  <w:b/>
                  <w:sz w:val="24"/>
                  <w:szCs w:val="24"/>
                </w:rPr>
              </w:pPr>
              <w:r w:rsidRPr="00254BBC">
                <w:rPr>
                  <w:rFonts w:asciiTheme="majorBidi" w:hAnsiTheme="majorBidi" w:cstheme="majorBidi"/>
                  <w:color w:val="222222"/>
                  <w:sz w:val="24"/>
                  <w:szCs w:val="24"/>
                  <w:shd w:val="clear" w:color="auto" w:fill="FFFFFF"/>
                </w:rPr>
                <w:lastRenderedPageBreak/>
                <w:t>Kimmons, R., &amp; Hall, C. (2016). Emerging technology integration models. </w:t>
              </w:r>
              <w:r w:rsidRPr="00254BBC">
                <w:rPr>
                  <w:rFonts w:asciiTheme="majorBidi" w:hAnsiTheme="majorBidi" w:cstheme="majorBidi"/>
                  <w:i/>
                  <w:iCs/>
                  <w:color w:val="222222"/>
                  <w:sz w:val="24"/>
                  <w:szCs w:val="24"/>
                  <w:shd w:val="clear" w:color="auto" w:fill="FFFFFF"/>
                </w:rPr>
                <w:t>Foundations and Applications</w:t>
              </w:r>
              <w:r w:rsidRPr="00254BBC">
                <w:rPr>
                  <w:rFonts w:asciiTheme="majorBidi" w:hAnsiTheme="majorBidi" w:cstheme="majorBidi"/>
                  <w:color w:val="222222"/>
                  <w:sz w:val="24"/>
                  <w:szCs w:val="24"/>
                  <w:shd w:val="clear" w:color="auto" w:fill="FFFFFF"/>
                </w:rPr>
                <w:t>.</w:t>
              </w:r>
            </w:p>
            <w:p w14:paraId="53536731" w14:textId="77777777" w:rsidR="00254BBC" w:rsidRPr="00254BBC" w:rsidRDefault="00254BBC" w:rsidP="00254BBC">
              <w:pPr>
                <w:spacing w:after="0" w:line="480" w:lineRule="auto"/>
                <w:ind w:left="720" w:hanging="720"/>
                <w:contextualSpacing/>
                <w:rPr>
                  <w:rFonts w:asciiTheme="majorBidi" w:hAnsiTheme="majorBidi" w:cstheme="majorBidi"/>
                  <w:sz w:val="24"/>
                  <w:szCs w:val="24"/>
                </w:rPr>
              </w:pPr>
              <w:r w:rsidRPr="00254BBC">
                <w:rPr>
                  <w:rFonts w:asciiTheme="majorBidi" w:hAnsiTheme="majorBidi" w:cstheme="majorBidi"/>
                  <w:sz w:val="24"/>
                  <w:szCs w:val="24"/>
                </w:rPr>
                <w:t xml:space="preserve">Klynveld Peat Marwick Goerdeler. (n.d.). </w:t>
              </w:r>
              <w:r w:rsidRPr="00254BBC">
                <w:rPr>
                  <w:rFonts w:asciiTheme="majorBidi" w:hAnsiTheme="majorBidi" w:cstheme="majorBidi"/>
                  <w:i/>
                  <w:iCs/>
                  <w:sz w:val="24"/>
                  <w:szCs w:val="24"/>
                </w:rPr>
                <w:t>The Future of Audit</w:t>
              </w:r>
              <w:r w:rsidRPr="00254BBC">
                <w:rPr>
                  <w:rFonts w:asciiTheme="majorBidi" w:hAnsiTheme="majorBidi" w:cstheme="majorBidi"/>
                  <w:sz w:val="24"/>
                  <w:szCs w:val="24"/>
                </w:rPr>
                <w:t xml:space="preserve">. KPMG. https://kpmg.com/ch/en/home/insights/2023/06/future-of-audit.html </w:t>
              </w:r>
            </w:p>
            <w:p w14:paraId="41AAB4B1" w14:textId="77777777" w:rsidR="00254BBC" w:rsidRPr="00254BBC" w:rsidRDefault="00254BBC" w:rsidP="00254BBC">
              <w:pPr>
                <w:spacing w:after="0" w:line="480" w:lineRule="auto"/>
                <w:ind w:left="720" w:hanging="720"/>
                <w:contextualSpacing/>
                <w:rPr>
                  <w:rFonts w:asciiTheme="majorBidi" w:hAnsiTheme="majorBidi" w:cstheme="majorBidi"/>
                  <w:color w:val="222222"/>
                  <w:sz w:val="24"/>
                  <w:szCs w:val="24"/>
                  <w:shd w:val="clear" w:color="auto" w:fill="FFFFFF"/>
                </w:rPr>
              </w:pPr>
              <w:r w:rsidRPr="00254BBC">
                <w:rPr>
                  <w:rFonts w:asciiTheme="majorBidi" w:hAnsiTheme="majorBidi" w:cstheme="majorBidi"/>
                  <w:color w:val="222222"/>
                  <w:sz w:val="24"/>
                  <w:szCs w:val="24"/>
                  <w:shd w:val="clear" w:color="auto" w:fill="FFFFFF"/>
                </w:rPr>
                <w:t>Richardson, L., &amp; Bissell, D. (2019). Geographies of digital skill. </w:t>
              </w:r>
              <w:r w:rsidRPr="00254BBC">
                <w:rPr>
                  <w:rFonts w:asciiTheme="majorBidi" w:hAnsiTheme="majorBidi" w:cstheme="majorBidi"/>
                  <w:i/>
                  <w:iCs/>
                  <w:color w:val="222222"/>
                  <w:sz w:val="24"/>
                  <w:szCs w:val="24"/>
                  <w:shd w:val="clear" w:color="auto" w:fill="FFFFFF"/>
                </w:rPr>
                <w:t>Geoforum</w:t>
              </w:r>
              <w:r w:rsidRPr="00254BBC">
                <w:rPr>
                  <w:rFonts w:asciiTheme="majorBidi" w:hAnsiTheme="majorBidi" w:cstheme="majorBidi"/>
                  <w:color w:val="222222"/>
                  <w:sz w:val="24"/>
                  <w:szCs w:val="24"/>
                  <w:shd w:val="clear" w:color="auto" w:fill="FFFFFF"/>
                </w:rPr>
                <w:t>, </w:t>
              </w:r>
              <w:r w:rsidRPr="00254BBC">
                <w:rPr>
                  <w:rFonts w:asciiTheme="majorBidi" w:hAnsiTheme="majorBidi" w:cstheme="majorBidi"/>
                  <w:i/>
                  <w:iCs/>
                  <w:color w:val="222222"/>
                  <w:sz w:val="24"/>
                  <w:szCs w:val="24"/>
                  <w:shd w:val="clear" w:color="auto" w:fill="FFFFFF"/>
                </w:rPr>
                <w:t>99</w:t>
              </w:r>
              <w:r w:rsidRPr="00254BBC">
                <w:rPr>
                  <w:rFonts w:asciiTheme="majorBidi" w:hAnsiTheme="majorBidi" w:cstheme="majorBidi"/>
                  <w:color w:val="222222"/>
                  <w:sz w:val="24"/>
                  <w:szCs w:val="24"/>
                  <w:shd w:val="clear" w:color="auto" w:fill="FFFFFF"/>
                </w:rPr>
                <w:t>, 278-286.</w:t>
              </w:r>
            </w:p>
            <w:p w14:paraId="4CE2C7BC" w14:textId="77777777" w:rsidR="00254BBC" w:rsidRPr="00254BBC" w:rsidRDefault="00254BBC" w:rsidP="00254BBC">
              <w:pPr>
                <w:spacing w:after="0" w:line="480" w:lineRule="auto"/>
                <w:ind w:left="720" w:hanging="720"/>
                <w:contextualSpacing/>
                <w:rPr>
                  <w:rFonts w:asciiTheme="majorBidi" w:hAnsiTheme="majorBidi" w:cstheme="majorBidi"/>
                  <w:color w:val="222222"/>
                  <w:sz w:val="24"/>
                  <w:szCs w:val="24"/>
                  <w:shd w:val="clear" w:color="auto" w:fill="FFFFFF"/>
                </w:rPr>
              </w:pPr>
              <w:r w:rsidRPr="00254BBC">
                <w:rPr>
                  <w:rFonts w:asciiTheme="majorBidi" w:hAnsiTheme="majorBidi" w:cstheme="majorBidi"/>
                  <w:color w:val="222222"/>
                  <w:sz w:val="24"/>
                  <w:szCs w:val="24"/>
                  <w:shd w:val="clear" w:color="auto" w:fill="FFFFFF"/>
                </w:rPr>
                <w:t>Zio, E. (2018). The future of risk assessment. </w:t>
              </w:r>
              <w:r w:rsidRPr="00254BBC">
                <w:rPr>
                  <w:rFonts w:asciiTheme="majorBidi" w:hAnsiTheme="majorBidi" w:cstheme="majorBidi"/>
                  <w:i/>
                  <w:iCs/>
                  <w:color w:val="222222"/>
                  <w:sz w:val="24"/>
                  <w:szCs w:val="24"/>
                  <w:shd w:val="clear" w:color="auto" w:fill="FFFFFF"/>
                </w:rPr>
                <w:t>Reliability Engineering &amp; System Safety</w:t>
              </w:r>
              <w:r w:rsidRPr="00254BBC">
                <w:rPr>
                  <w:rFonts w:asciiTheme="majorBidi" w:hAnsiTheme="majorBidi" w:cstheme="majorBidi"/>
                  <w:color w:val="222222"/>
                  <w:sz w:val="24"/>
                  <w:szCs w:val="24"/>
                  <w:shd w:val="clear" w:color="auto" w:fill="FFFFFF"/>
                </w:rPr>
                <w:t>, </w:t>
              </w:r>
              <w:r w:rsidRPr="00254BBC">
                <w:rPr>
                  <w:rFonts w:asciiTheme="majorBidi" w:hAnsiTheme="majorBidi" w:cstheme="majorBidi"/>
                  <w:i/>
                  <w:iCs/>
                  <w:color w:val="222222"/>
                  <w:sz w:val="24"/>
                  <w:szCs w:val="24"/>
                  <w:shd w:val="clear" w:color="auto" w:fill="FFFFFF"/>
                </w:rPr>
                <w:t>177</w:t>
              </w:r>
              <w:r w:rsidRPr="00254BBC">
                <w:rPr>
                  <w:rFonts w:asciiTheme="majorBidi" w:hAnsiTheme="majorBidi" w:cstheme="majorBidi"/>
                  <w:color w:val="222222"/>
                  <w:sz w:val="24"/>
                  <w:szCs w:val="24"/>
                  <w:shd w:val="clear" w:color="auto" w:fill="FFFFFF"/>
                </w:rPr>
                <w:t>, 176-190.</w:t>
              </w:r>
            </w:p>
            <w:bookmarkEnd w:id="4"/>
            <w:p w14:paraId="3315648B" w14:textId="77777777" w:rsidR="00254BBC" w:rsidRPr="00DC7D6A" w:rsidRDefault="00254BBC" w:rsidP="00254BBC">
              <w:pPr>
                <w:spacing w:line="480" w:lineRule="auto"/>
                <w:contextualSpacing/>
                <w:rPr>
                  <w:rFonts w:ascii="Times New Roman" w:hAnsi="Times New Roman" w:cs="Times New Roman"/>
                  <w:sz w:val="24"/>
                  <w:szCs w:val="24"/>
                </w:rPr>
              </w:pPr>
            </w:p>
            <w:p w14:paraId="70B9F37D" w14:textId="77777777" w:rsidR="00254BBC" w:rsidRPr="00254BBC" w:rsidRDefault="00254BBC" w:rsidP="00254BBC"/>
            <w:p w14:paraId="6CB1D79A" w14:textId="77777777" w:rsidR="00254BBC" w:rsidRPr="00254BBC" w:rsidRDefault="00254BBC" w:rsidP="00254BBC"/>
            <w:p w14:paraId="6E65B222" w14:textId="77777777" w:rsidR="00254BBC" w:rsidRPr="00254BBC" w:rsidRDefault="00254BBC" w:rsidP="00254BBC"/>
            <w:p w14:paraId="13BD31B3" w14:textId="4F802D0C" w:rsidR="00254BBC" w:rsidRDefault="00254BBC" w:rsidP="00254BBC">
              <w:r>
                <w:rPr>
                  <w:b/>
                  <w:bCs/>
                  <w:noProof/>
                </w:rPr>
                <w:fldChar w:fldCharType="end"/>
              </w:r>
            </w:p>
          </w:sdtContent>
        </w:sdt>
      </w:sdtContent>
    </w:sdt>
    <w:p w14:paraId="593EF290" w14:textId="77777777" w:rsidR="006122C5" w:rsidRPr="007A3BB3" w:rsidRDefault="006122C5" w:rsidP="0035361D"/>
    <w:sectPr w:rsidR="006122C5" w:rsidRPr="007A3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10C5B"/>
    <w:multiLevelType w:val="multilevel"/>
    <w:tmpl w:val="5AA8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6461CC"/>
    <w:multiLevelType w:val="multilevel"/>
    <w:tmpl w:val="2CF4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23581D"/>
    <w:multiLevelType w:val="multilevel"/>
    <w:tmpl w:val="1E46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5B083F"/>
    <w:multiLevelType w:val="multilevel"/>
    <w:tmpl w:val="37B0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2970D4"/>
    <w:multiLevelType w:val="multilevel"/>
    <w:tmpl w:val="6FFA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225790"/>
    <w:multiLevelType w:val="multilevel"/>
    <w:tmpl w:val="E9D8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50567E"/>
    <w:multiLevelType w:val="multilevel"/>
    <w:tmpl w:val="CF4A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DC5B47"/>
    <w:multiLevelType w:val="multilevel"/>
    <w:tmpl w:val="141C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7E2241"/>
    <w:multiLevelType w:val="multilevel"/>
    <w:tmpl w:val="AFA4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2A628D"/>
    <w:multiLevelType w:val="multilevel"/>
    <w:tmpl w:val="167A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82131C"/>
    <w:multiLevelType w:val="multilevel"/>
    <w:tmpl w:val="7F44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D61556"/>
    <w:multiLevelType w:val="multilevel"/>
    <w:tmpl w:val="675C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4C19B9"/>
    <w:multiLevelType w:val="multilevel"/>
    <w:tmpl w:val="F332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9970251">
    <w:abstractNumId w:val="6"/>
  </w:num>
  <w:num w:numId="2" w16cid:durableId="2090223948">
    <w:abstractNumId w:val="4"/>
  </w:num>
  <w:num w:numId="3" w16cid:durableId="893657636">
    <w:abstractNumId w:val="8"/>
  </w:num>
  <w:num w:numId="4" w16cid:durableId="686058983">
    <w:abstractNumId w:val="3"/>
  </w:num>
  <w:num w:numId="5" w16cid:durableId="326707705">
    <w:abstractNumId w:val="10"/>
  </w:num>
  <w:num w:numId="6" w16cid:durableId="229193960">
    <w:abstractNumId w:val="2"/>
  </w:num>
  <w:num w:numId="7" w16cid:durableId="273633197">
    <w:abstractNumId w:val="12"/>
  </w:num>
  <w:num w:numId="8" w16cid:durableId="1057242823">
    <w:abstractNumId w:val="9"/>
  </w:num>
  <w:num w:numId="9" w16cid:durableId="468938936">
    <w:abstractNumId w:val="0"/>
  </w:num>
  <w:num w:numId="10" w16cid:durableId="1253198445">
    <w:abstractNumId w:val="7"/>
  </w:num>
  <w:num w:numId="11" w16cid:durableId="1070932608">
    <w:abstractNumId w:val="11"/>
  </w:num>
  <w:num w:numId="12" w16cid:durableId="1987974741">
    <w:abstractNumId w:val="1"/>
  </w:num>
  <w:num w:numId="13" w16cid:durableId="410588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BE4"/>
    <w:rsid w:val="00002B6F"/>
    <w:rsid w:val="0003233C"/>
    <w:rsid w:val="00032C8C"/>
    <w:rsid w:val="0003374C"/>
    <w:rsid w:val="00036020"/>
    <w:rsid w:val="000617E4"/>
    <w:rsid w:val="00062796"/>
    <w:rsid w:val="00082352"/>
    <w:rsid w:val="000A5451"/>
    <w:rsid w:val="00140D44"/>
    <w:rsid w:val="001460A0"/>
    <w:rsid w:val="00167C9C"/>
    <w:rsid w:val="00173931"/>
    <w:rsid w:val="00177241"/>
    <w:rsid w:val="001F31AE"/>
    <w:rsid w:val="00245621"/>
    <w:rsid w:val="00254BBC"/>
    <w:rsid w:val="00283836"/>
    <w:rsid w:val="002B1900"/>
    <w:rsid w:val="002B2696"/>
    <w:rsid w:val="002F16A9"/>
    <w:rsid w:val="0032294A"/>
    <w:rsid w:val="00335527"/>
    <w:rsid w:val="0035361D"/>
    <w:rsid w:val="0039120B"/>
    <w:rsid w:val="003B2E49"/>
    <w:rsid w:val="003F2F45"/>
    <w:rsid w:val="00400251"/>
    <w:rsid w:val="00442BC6"/>
    <w:rsid w:val="00463717"/>
    <w:rsid w:val="004856F0"/>
    <w:rsid w:val="00494B54"/>
    <w:rsid w:val="004E7BBF"/>
    <w:rsid w:val="004F52BB"/>
    <w:rsid w:val="00511D9B"/>
    <w:rsid w:val="005D21A8"/>
    <w:rsid w:val="005E4C58"/>
    <w:rsid w:val="005F35DB"/>
    <w:rsid w:val="00610A04"/>
    <w:rsid w:val="006122C5"/>
    <w:rsid w:val="00647221"/>
    <w:rsid w:val="0065308A"/>
    <w:rsid w:val="006747DE"/>
    <w:rsid w:val="006C502B"/>
    <w:rsid w:val="006F5329"/>
    <w:rsid w:val="0076564D"/>
    <w:rsid w:val="00782BB7"/>
    <w:rsid w:val="00783CCA"/>
    <w:rsid w:val="00785F8B"/>
    <w:rsid w:val="007865F5"/>
    <w:rsid w:val="007A0713"/>
    <w:rsid w:val="007A3BB3"/>
    <w:rsid w:val="007A7CB1"/>
    <w:rsid w:val="007C5EC5"/>
    <w:rsid w:val="007C68F3"/>
    <w:rsid w:val="00800E4B"/>
    <w:rsid w:val="00826F91"/>
    <w:rsid w:val="00841533"/>
    <w:rsid w:val="0085354E"/>
    <w:rsid w:val="0085535E"/>
    <w:rsid w:val="00880CE8"/>
    <w:rsid w:val="00886BA4"/>
    <w:rsid w:val="008A122A"/>
    <w:rsid w:val="008D652C"/>
    <w:rsid w:val="0090358C"/>
    <w:rsid w:val="009244BA"/>
    <w:rsid w:val="009518D6"/>
    <w:rsid w:val="00974429"/>
    <w:rsid w:val="00975BE4"/>
    <w:rsid w:val="00990B6B"/>
    <w:rsid w:val="009929C7"/>
    <w:rsid w:val="00993B5D"/>
    <w:rsid w:val="009C07DD"/>
    <w:rsid w:val="009C1713"/>
    <w:rsid w:val="009D41EA"/>
    <w:rsid w:val="00A473A6"/>
    <w:rsid w:val="00A711B3"/>
    <w:rsid w:val="00A72DB6"/>
    <w:rsid w:val="00A83104"/>
    <w:rsid w:val="00AD750E"/>
    <w:rsid w:val="00AE0A6F"/>
    <w:rsid w:val="00AF667F"/>
    <w:rsid w:val="00B05015"/>
    <w:rsid w:val="00B40F2A"/>
    <w:rsid w:val="00B43B99"/>
    <w:rsid w:val="00B61111"/>
    <w:rsid w:val="00B77F46"/>
    <w:rsid w:val="00B95C91"/>
    <w:rsid w:val="00BB7E4F"/>
    <w:rsid w:val="00C45013"/>
    <w:rsid w:val="00CA4315"/>
    <w:rsid w:val="00CB090F"/>
    <w:rsid w:val="00CD4136"/>
    <w:rsid w:val="00CE276A"/>
    <w:rsid w:val="00CE46ED"/>
    <w:rsid w:val="00D13253"/>
    <w:rsid w:val="00D41CE6"/>
    <w:rsid w:val="00E20D08"/>
    <w:rsid w:val="00E20FB7"/>
    <w:rsid w:val="00E306B7"/>
    <w:rsid w:val="00EB3B68"/>
    <w:rsid w:val="00F06E0D"/>
    <w:rsid w:val="00F15420"/>
    <w:rsid w:val="00F23262"/>
    <w:rsid w:val="00F23DAE"/>
    <w:rsid w:val="00F775D6"/>
    <w:rsid w:val="00FA43D8"/>
    <w:rsid w:val="00FC587F"/>
    <w:rsid w:val="00FD1C95"/>
    <w:rsid w:val="00FD2DF6"/>
    <w:rsid w:val="00FE0D3F"/>
    <w:rsid w:val="00FF1B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4F256"/>
  <w15:chartTrackingRefBased/>
  <w15:docId w15:val="{5E8FA055-7667-495E-832E-A9F3D63C4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6ED"/>
  </w:style>
  <w:style w:type="paragraph" w:styleId="Heading1">
    <w:name w:val="heading 1"/>
    <w:basedOn w:val="Normal"/>
    <w:next w:val="Normal"/>
    <w:link w:val="Heading1Char"/>
    <w:uiPriority w:val="9"/>
    <w:qFormat/>
    <w:rsid w:val="001F31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F31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31AE"/>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1F31AE"/>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F06E0D"/>
    <w:rPr>
      <w:b/>
      <w:bCs/>
    </w:rPr>
  </w:style>
  <w:style w:type="paragraph" w:styleId="HTMLPreformatted">
    <w:name w:val="HTML Preformatted"/>
    <w:basedOn w:val="Normal"/>
    <w:link w:val="HTMLPreformattedChar"/>
    <w:uiPriority w:val="99"/>
    <w:semiHidden/>
    <w:unhideWhenUsed/>
    <w:rsid w:val="00FF1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1BC4"/>
    <w:rPr>
      <w:rFonts w:ascii="Courier New" w:eastAsia="Times New Roman" w:hAnsi="Courier New" w:cs="Courier New"/>
      <w:sz w:val="20"/>
      <w:szCs w:val="20"/>
    </w:rPr>
  </w:style>
  <w:style w:type="character" w:customStyle="1" w:styleId="y2iqfc">
    <w:name w:val="y2iqfc"/>
    <w:basedOn w:val="DefaultParagraphFont"/>
    <w:rsid w:val="00FF1BC4"/>
  </w:style>
  <w:style w:type="paragraph" w:styleId="NormalWeb">
    <w:name w:val="Normal (Web)"/>
    <w:basedOn w:val="Normal"/>
    <w:uiPriority w:val="99"/>
    <w:semiHidden/>
    <w:unhideWhenUsed/>
    <w:rsid w:val="006472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anob">
    <w:name w:val="aranob"/>
    <w:basedOn w:val="DefaultParagraphFont"/>
    <w:rsid w:val="002B2696"/>
  </w:style>
  <w:style w:type="character" w:styleId="Hyperlink">
    <w:name w:val="Hyperlink"/>
    <w:basedOn w:val="DefaultParagraphFont"/>
    <w:uiPriority w:val="99"/>
    <w:semiHidden/>
    <w:unhideWhenUsed/>
    <w:rsid w:val="002B2696"/>
    <w:rPr>
      <w:color w:val="0000FF"/>
      <w:u w:val="single"/>
    </w:rPr>
  </w:style>
  <w:style w:type="table" w:styleId="TableGrid">
    <w:name w:val="Table Grid"/>
    <w:basedOn w:val="TableNormal"/>
    <w:uiPriority w:val="39"/>
    <w:rsid w:val="006122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122C5"/>
  </w:style>
  <w:style w:type="character" w:customStyle="1" w:styleId="userinfo">
    <w:name w:val="userinfo"/>
    <w:basedOn w:val="DefaultParagraphFont"/>
    <w:rsid w:val="00610A04"/>
  </w:style>
  <w:style w:type="character" w:customStyle="1" w:styleId="datestamp">
    <w:name w:val="datestamp"/>
    <w:basedOn w:val="DefaultParagraphFont"/>
    <w:rsid w:val="00610A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76096">
      <w:bodyDiv w:val="1"/>
      <w:marLeft w:val="0"/>
      <w:marRight w:val="0"/>
      <w:marTop w:val="0"/>
      <w:marBottom w:val="0"/>
      <w:divBdr>
        <w:top w:val="none" w:sz="0" w:space="0" w:color="auto"/>
        <w:left w:val="none" w:sz="0" w:space="0" w:color="auto"/>
        <w:bottom w:val="none" w:sz="0" w:space="0" w:color="auto"/>
        <w:right w:val="none" w:sz="0" w:space="0" w:color="auto"/>
      </w:divBdr>
    </w:div>
    <w:div w:id="245723546">
      <w:bodyDiv w:val="1"/>
      <w:marLeft w:val="0"/>
      <w:marRight w:val="0"/>
      <w:marTop w:val="0"/>
      <w:marBottom w:val="0"/>
      <w:divBdr>
        <w:top w:val="none" w:sz="0" w:space="0" w:color="auto"/>
        <w:left w:val="none" w:sz="0" w:space="0" w:color="auto"/>
        <w:bottom w:val="none" w:sz="0" w:space="0" w:color="auto"/>
        <w:right w:val="none" w:sz="0" w:space="0" w:color="auto"/>
      </w:divBdr>
    </w:div>
    <w:div w:id="250429346">
      <w:bodyDiv w:val="1"/>
      <w:marLeft w:val="0"/>
      <w:marRight w:val="0"/>
      <w:marTop w:val="0"/>
      <w:marBottom w:val="0"/>
      <w:divBdr>
        <w:top w:val="none" w:sz="0" w:space="0" w:color="auto"/>
        <w:left w:val="none" w:sz="0" w:space="0" w:color="auto"/>
        <w:bottom w:val="none" w:sz="0" w:space="0" w:color="auto"/>
        <w:right w:val="none" w:sz="0" w:space="0" w:color="auto"/>
      </w:divBdr>
    </w:div>
    <w:div w:id="273825535">
      <w:bodyDiv w:val="1"/>
      <w:marLeft w:val="0"/>
      <w:marRight w:val="0"/>
      <w:marTop w:val="0"/>
      <w:marBottom w:val="0"/>
      <w:divBdr>
        <w:top w:val="none" w:sz="0" w:space="0" w:color="auto"/>
        <w:left w:val="none" w:sz="0" w:space="0" w:color="auto"/>
        <w:bottom w:val="none" w:sz="0" w:space="0" w:color="auto"/>
        <w:right w:val="none" w:sz="0" w:space="0" w:color="auto"/>
      </w:divBdr>
    </w:div>
    <w:div w:id="346715910">
      <w:bodyDiv w:val="1"/>
      <w:marLeft w:val="0"/>
      <w:marRight w:val="0"/>
      <w:marTop w:val="0"/>
      <w:marBottom w:val="0"/>
      <w:divBdr>
        <w:top w:val="none" w:sz="0" w:space="0" w:color="auto"/>
        <w:left w:val="none" w:sz="0" w:space="0" w:color="auto"/>
        <w:bottom w:val="none" w:sz="0" w:space="0" w:color="auto"/>
        <w:right w:val="none" w:sz="0" w:space="0" w:color="auto"/>
      </w:divBdr>
    </w:div>
    <w:div w:id="349182676">
      <w:bodyDiv w:val="1"/>
      <w:marLeft w:val="0"/>
      <w:marRight w:val="0"/>
      <w:marTop w:val="0"/>
      <w:marBottom w:val="0"/>
      <w:divBdr>
        <w:top w:val="none" w:sz="0" w:space="0" w:color="auto"/>
        <w:left w:val="none" w:sz="0" w:space="0" w:color="auto"/>
        <w:bottom w:val="none" w:sz="0" w:space="0" w:color="auto"/>
        <w:right w:val="none" w:sz="0" w:space="0" w:color="auto"/>
      </w:divBdr>
    </w:div>
    <w:div w:id="430667307">
      <w:bodyDiv w:val="1"/>
      <w:marLeft w:val="0"/>
      <w:marRight w:val="0"/>
      <w:marTop w:val="0"/>
      <w:marBottom w:val="0"/>
      <w:divBdr>
        <w:top w:val="none" w:sz="0" w:space="0" w:color="auto"/>
        <w:left w:val="none" w:sz="0" w:space="0" w:color="auto"/>
        <w:bottom w:val="none" w:sz="0" w:space="0" w:color="auto"/>
        <w:right w:val="none" w:sz="0" w:space="0" w:color="auto"/>
      </w:divBdr>
    </w:div>
    <w:div w:id="430972523">
      <w:bodyDiv w:val="1"/>
      <w:marLeft w:val="0"/>
      <w:marRight w:val="0"/>
      <w:marTop w:val="0"/>
      <w:marBottom w:val="0"/>
      <w:divBdr>
        <w:top w:val="none" w:sz="0" w:space="0" w:color="auto"/>
        <w:left w:val="none" w:sz="0" w:space="0" w:color="auto"/>
        <w:bottom w:val="none" w:sz="0" w:space="0" w:color="auto"/>
        <w:right w:val="none" w:sz="0" w:space="0" w:color="auto"/>
      </w:divBdr>
    </w:div>
    <w:div w:id="431365742">
      <w:bodyDiv w:val="1"/>
      <w:marLeft w:val="0"/>
      <w:marRight w:val="0"/>
      <w:marTop w:val="0"/>
      <w:marBottom w:val="0"/>
      <w:divBdr>
        <w:top w:val="none" w:sz="0" w:space="0" w:color="auto"/>
        <w:left w:val="none" w:sz="0" w:space="0" w:color="auto"/>
        <w:bottom w:val="none" w:sz="0" w:space="0" w:color="auto"/>
        <w:right w:val="none" w:sz="0" w:space="0" w:color="auto"/>
      </w:divBdr>
    </w:div>
    <w:div w:id="540019350">
      <w:bodyDiv w:val="1"/>
      <w:marLeft w:val="0"/>
      <w:marRight w:val="0"/>
      <w:marTop w:val="0"/>
      <w:marBottom w:val="0"/>
      <w:divBdr>
        <w:top w:val="none" w:sz="0" w:space="0" w:color="auto"/>
        <w:left w:val="none" w:sz="0" w:space="0" w:color="auto"/>
        <w:bottom w:val="none" w:sz="0" w:space="0" w:color="auto"/>
        <w:right w:val="none" w:sz="0" w:space="0" w:color="auto"/>
      </w:divBdr>
    </w:div>
    <w:div w:id="555701305">
      <w:bodyDiv w:val="1"/>
      <w:marLeft w:val="0"/>
      <w:marRight w:val="0"/>
      <w:marTop w:val="0"/>
      <w:marBottom w:val="0"/>
      <w:divBdr>
        <w:top w:val="none" w:sz="0" w:space="0" w:color="auto"/>
        <w:left w:val="none" w:sz="0" w:space="0" w:color="auto"/>
        <w:bottom w:val="none" w:sz="0" w:space="0" w:color="auto"/>
        <w:right w:val="none" w:sz="0" w:space="0" w:color="auto"/>
      </w:divBdr>
    </w:div>
    <w:div w:id="665284534">
      <w:bodyDiv w:val="1"/>
      <w:marLeft w:val="0"/>
      <w:marRight w:val="0"/>
      <w:marTop w:val="0"/>
      <w:marBottom w:val="0"/>
      <w:divBdr>
        <w:top w:val="none" w:sz="0" w:space="0" w:color="auto"/>
        <w:left w:val="none" w:sz="0" w:space="0" w:color="auto"/>
        <w:bottom w:val="none" w:sz="0" w:space="0" w:color="auto"/>
        <w:right w:val="none" w:sz="0" w:space="0" w:color="auto"/>
      </w:divBdr>
    </w:div>
    <w:div w:id="866720589">
      <w:bodyDiv w:val="1"/>
      <w:marLeft w:val="0"/>
      <w:marRight w:val="0"/>
      <w:marTop w:val="0"/>
      <w:marBottom w:val="0"/>
      <w:divBdr>
        <w:top w:val="none" w:sz="0" w:space="0" w:color="auto"/>
        <w:left w:val="none" w:sz="0" w:space="0" w:color="auto"/>
        <w:bottom w:val="none" w:sz="0" w:space="0" w:color="auto"/>
        <w:right w:val="none" w:sz="0" w:space="0" w:color="auto"/>
      </w:divBdr>
    </w:div>
    <w:div w:id="965892757">
      <w:bodyDiv w:val="1"/>
      <w:marLeft w:val="0"/>
      <w:marRight w:val="0"/>
      <w:marTop w:val="0"/>
      <w:marBottom w:val="0"/>
      <w:divBdr>
        <w:top w:val="none" w:sz="0" w:space="0" w:color="auto"/>
        <w:left w:val="none" w:sz="0" w:space="0" w:color="auto"/>
        <w:bottom w:val="none" w:sz="0" w:space="0" w:color="auto"/>
        <w:right w:val="none" w:sz="0" w:space="0" w:color="auto"/>
      </w:divBdr>
    </w:div>
    <w:div w:id="994575161">
      <w:bodyDiv w:val="1"/>
      <w:marLeft w:val="0"/>
      <w:marRight w:val="0"/>
      <w:marTop w:val="0"/>
      <w:marBottom w:val="0"/>
      <w:divBdr>
        <w:top w:val="none" w:sz="0" w:space="0" w:color="auto"/>
        <w:left w:val="none" w:sz="0" w:space="0" w:color="auto"/>
        <w:bottom w:val="none" w:sz="0" w:space="0" w:color="auto"/>
        <w:right w:val="none" w:sz="0" w:space="0" w:color="auto"/>
      </w:divBdr>
    </w:div>
    <w:div w:id="1024553839">
      <w:bodyDiv w:val="1"/>
      <w:marLeft w:val="0"/>
      <w:marRight w:val="0"/>
      <w:marTop w:val="0"/>
      <w:marBottom w:val="0"/>
      <w:divBdr>
        <w:top w:val="none" w:sz="0" w:space="0" w:color="auto"/>
        <w:left w:val="none" w:sz="0" w:space="0" w:color="auto"/>
        <w:bottom w:val="none" w:sz="0" w:space="0" w:color="auto"/>
        <w:right w:val="none" w:sz="0" w:space="0" w:color="auto"/>
      </w:divBdr>
    </w:div>
    <w:div w:id="1128662939">
      <w:bodyDiv w:val="1"/>
      <w:marLeft w:val="0"/>
      <w:marRight w:val="0"/>
      <w:marTop w:val="0"/>
      <w:marBottom w:val="0"/>
      <w:divBdr>
        <w:top w:val="none" w:sz="0" w:space="0" w:color="auto"/>
        <w:left w:val="none" w:sz="0" w:space="0" w:color="auto"/>
        <w:bottom w:val="none" w:sz="0" w:space="0" w:color="auto"/>
        <w:right w:val="none" w:sz="0" w:space="0" w:color="auto"/>
      </w:divBdr>
    </w:div>
    <w:div w:id="1135366106">
      <w:bodyDiv w:val="1"/>
      <w:marLeft w:val="0"/>
      <w:marRight w:val="0"/>
      <w:marTop w:val="0"/>
      <w:marBottom w:val="0"/>
      <w:divBdr>
        <w:top w:val="none" w:sz="0" w:space="0" w:color="auto"/>
        <w:left w:val="none" w:sz="0" w:space="0" w:color="auto"/>
        <w:bottom w:val="none" w:sz="0" w:space="0" w:color="auto"/>
        <w:right w:val="none" w:sz="0" w:space="0" w:color="auto"/>
      </w:divBdr>
    </w:div>
    <w:div w:id="1178546965">
      <w:bodyDiv w:val="1"/>
      <w:marLeft w:val="0"/>
      <w:marRight w:val="0"/>
      <w:marTop w:val="0"/>
      <w:marBottom w:val="0"/>
      <w:divBdr>
        <w:top w:val="none" w:sz="0" w:space="0" w:color="auto"/>
        <w:left w:val="none" w:sz="0" w:space="0" w:color="auto"/>
        <w:bottom w:val="none" w:sz="0" w:space="0" w:color="auto"/>
        <w:right w:val="none" w:sz="0" w:space="0" w:color="auto"/>
      </w:divBdr>
    </w:div>
    <w:div w:id="1227109769">
      <w:bodyDiv w:val="1"/>
      <w:marLeft w:val="0"/>
      <w:marRight w:val="0"/>
      <w:marTop w:val="0"/>
      <w:marBottom w:val="0"/>
      <w:divBdr>
        <w:top w:val="none" w:sz="0" w:space="0" w:color="auto"/>
        <w:left w:val="none" w:sz="0" w:space="0" w:color="auto"/>
        <w:bottom w:val="none" w:sz="0" w:space="0" w:color="auto"/>
        <w:right w:val="none" w:sz="0" w:space="0" w:color="auto"/>
      </w:divBdr>
      <w:divsChild>
        <w:div w:id="308170733">
          <w:marLeft w:val="0"/>
          <w:marRight w:val="0"/>
          <w:marTop w:val="0"/>
          <w:marBottom w:val="0"/>
          <w:divBdr>
            <w:top w:val="none" w:sz="0" w:space="0" w:color="auto"/>
            <w:left w:val="none" w:sz="0" w:space="0" w:color="auto"/>
            <w:bottom w:val="none" w:sz="0" w:space="0" w:color="auto"/>
            <w:right w:val="none" w:sz="0" w:space="0" w:color="auto"/>
          </w:divBdr>
          <w:divsChild>
            <w:div w:id="160589798">
              <w:marLeft w:val="0"/>
              <w:marRight w:val="0"/>
              <w:marTop w:val="0"/>
              <w:marBottom w:val="0"/>
              <w:divBdr>
                <w:top w:val="none" w:sz="0" w:space="0" w:color="auto"/>
                <w:left w:val="none" w:sz="0" w:space="0" w:color="auto"/>
                <w:bottom w:val="none" w:sz="0" w:space="0" w:color="auto"/>
                <w:right w:val="none" w:sz="0" w:space="0" w:color="auto"/>
              </w:divBdr>
              <w:divsChild>
                <w:div w:id="2138376753">
                  <w:marLeft w:val="0"/>
                  <w:marRight w:val="0"/>
                  <w:marTop w:val="0"/>
                  <w:marBottom w:val="0"/>
                  <w:divBdr>
                    <w:top w:val="none" w:sz="0" w:space="0" w:color="auto"/>
                    <w:left w:val="none" w:sz="0" w:space="0" w:color="auto"/>
                    <w:bottom w:val="none" w:sz="0" w:space="0" w:color="auto"/>
                    <w:right w:val="none" w:sz="0" w:space="0" w:color="auto"/>
                  </w:divBdr>
                  <w:divsChild>
                    <w:div w:id="1202670040">
                      <w:marLeft w:val="300"/>
                      <w:marRight w:val="0"/>
                      <w:marTop w:val="0"/>
                      <w:marBottom w:val="0"/>
                      <w:divBdr>
                        <w:top w:val="none" w:sz="0" w:space="0" w:color="auto"/>
                        <w:left w:val="none" w:sz="0" w:space="0" w:color="auto"/>
                        <w:bottom w:val="none" w:sz="0" w:space="0" w:color="auto"/>
                        <w:right w:val="none" w:sz="0" w:space="0" w:color="auto"/>
                      </w:divBdr>
                      <w:divsChild>
                        <w:div w:id="1361204986">
                          <w:marLeft w:val="-300"/>
                          <w:marRight w:val="0"/>
                          <w:marTop w:val="0"/>
                          <w:marBottom w:val="0"/>
                          <w:divBdr>
                            <w:top w:val="none" w:sz="0" w:space="0" w:color="auto"/>
                            <w:left w:val="none" w:sz="0" w:space="0" w:color="auto"/>
                            <w:bottom w:val="none" w:sz="0" w:space="0" w:color="auto"/>
                            <w:right w:val="none" w:sz="0" w:space="0" w:color="auto"/>
                          </w:divBdr>
                          <w:divsChild>
                            <w:div w:id="1743679688">
                              <w:marLeft w:val="0"/>
                              <w:marRight w:val="0"/>
                              <w:marTop w:val="0"/>
                              <w:marBottom w:val="0"/>
                              <w:divBdr>
                                <w:top w:val="none" w:sz="0" w:space="0" w:color="auto"/>
                                <w:left w:val="none" w:sz="0" w:space="0" w:color="auto"/>
                                <w:bottom w:val="none" w:sz="0" w:space="0" w:color="auto"/>
                                <w:right w:val="none" w:sz="0" w:space="0" w:color="auto"/>
                              </w:divBdr>
                              <w:divsChild>
                                <w:div w:id="179922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688075">
      <w:bodyDiv w:val="1"/>
      <w:marLeft w:val="0"/>
      <w:marRight w:val="0"/>
      <w:marTop w:val="0"/>
      <w:marBottom w:val="0"/>
      <w:divBdr>
        <w:top w:val="none" w:sz="0" w:space="0" w:color="auto"/>
        <w:left w:val="none" w:sz="0" w:space="0" w:color="auto"/>
        <w:bottom w:val="none" w:sz="0" w:space="0" w:color="auto"/>
        <w:right w:val="none" w:sz="0" w:space="0" w:color="auto"/>
      </w:divBdr>
    </w:div>
    <w:div w:id="1323043028">
      <w:bodyDiv w:val="1"/>
      <w:marLeft w:val="0"/>
      <w:marRight w:val="0"/>
      <w:marTop w:val="0"/>
      <w:marBottom w:val="0"/>
      <w:divBdr>
        <w:top w:val="none" w:sz="0" w:space="0" w:color="auto"/>
        <w:left w:val="none" w:sz="0" w:space="0" w:color="auto"/>
        <w:bottom w:val="none" w:sz="0" w:space="0" w:color="auto"/>
        <w:right w:val="none" w:sz="0" w:space="0" w:color="auto"/>
      </w:divBdr>
    </w:div>
    <w:div w:id="1384018295">
      <w:bodyDiv w:val="1"/>
      <w:marLeft w:val="0"/>
      <w:marRight w:val="0"/>
      <w:marTop w:val="0"/>
      <w:marBottom w:val="0"/>
      <w:divBdr>
        <w:top w:val="none" w:sz="0" w:space="0" w:color="auto"/>
        <w:left w:val="none" w:sz="0" w:space="0" w:color="auto"/>
        <w:bottom w:val="none" w:sz="0" w:space="0" w:color="auto"/>
        <w:right w:val="none" w:sz="0" w:space="0" w:color="auto"/>
      </w:divBdr>
    </w:div>
    <w:div w:id="1425147339">
      <w:bodyDiv w:val="1"/>
      <w:marLeft w:val="0"/>
      <w:marRight w:val="0"/>
      <w:marTop w:val="0"/>
      <w:marBottom w:val="0"/>
      <w:divBdr>
        <w:top w:val="none" w:sz="0" w:space="0" w:color="auto"/>
        <w:left w:val="none" w:sz="0" w:space="0" w:color="auto"/>
        <w:bottom w:val="none" w:sz="0" w:space="0" w:color="auto"/>
        <w:right w:val="none" w:sz="0" w:space="0" w:color="auto"/>
      </w:divBdr>
    </w:div>
    <w:div w:id="1439064501">
      <w:bodyDiv w:val="1"/>
      <w:marLeft w:val="0"/>
      <w:marRight w:val="0"/>
      <w:marTop w:val="0"/>
      <w:marBottom w:val="0"/>
      <w:divBdr>
        <w:top w:val="none" w:sz="0" w:space="0" w:color="auto"/>
        <w:left w:val="none" w:sz="0" w:space="0" w:color="auto"/>
        <w:bottom w:val="none" w:sz="0" w:space="0" w:color="auto"/>
        <w:right w:val="none" w:sz="0" w:space="0" w:color="auto"/>
      </w:divBdr>
    </w:div>
    <w:div w:id="1734699955">
      <w:bodyDiv w:val="1"/>
      <w:marLeft w:val="0"/>
      <w:marRight w:val="0"/>
      <w:marTop w:val="0"/>
      <w:marBottom w:val="0"/>
      <w:divBdr>
        <w:top w:val="none" w:sz="0" w:space="0" w:color="auto"/>
        <w:left w:val="none" w:sz="0" w:space="0" w:color="auto"/>
        <w:bottom w:val="none" w:sz="0" w:space="0" w:color="auto"/>
        <w:right w:val="none" w:sz="0" w:space="0" w:color="auto"/>
      </w:divBdr>
    </w:div>
    <w:div w:id="1773863814">
      <w:bodyDiv w:val="1"/>
      <w:marLeft w:val="0"/>
      <w:marRight w:val="0"/>
      <w:marTop w:val="0"/>
      <w:marBottom w:val="0"/>
      <w:divBdr>
        <w:top w:val="none" w:sz="0" w:space="0" w:color="auto"/>
        <w:left w:val="none" w:sz="0" w:space="0" w:color="auto"/>
        <w:bottom w:val="none" w:sz="0" w:space="0" w:color="auto"/>
        <w:right w:val="none" w:sz="0" w:space="0" w:color="auto"/>
      </w:divBdr>
      <w:divsChild>
        <w:div w:id="368803725">
          <w:marLeft w:val="0"/>
          <w:marRight w:val="0"/>
          <w:marTop w:val="90"/>
          <w:marBottom w:val="0"/>
          <w:divBdr>
            <w:top w:val="none" w:sz="0" w:space="0" w:color="auto"/>
            <w:left w:val="none" w:sz="0" w:space="0" w:color="auto"/>
            <w:bottom w:val="none" w:sz="0" w:space="0" w:color="auto"/>
            <w:right w:val="none" w:sz="0" w:space="0" w:color="auto"/>
          </w:divBdr>
        </w:div>
      </w:divsChild>
    </w:div>
    <w:div w:id="1933470209">
      <w:bodyDiv w:val="1"/>
      <w:marLeft w:val="0"/>
      <w:marRight w:val="0"/>
      <w:marTop w:val="0"/>
      <w:marBottom w:val="0"/>
      <w:divBdr>
        <w:top w:val="none" w:sz="0" w:space="0" w:color="auto"/>
        <w:left w:val="none" w:sz="0" w:space="0" w:color="auto"/>
        <w:bottom w:val="none" w:sz="0" w:space="0" w:color="auto"/>
        <w:right w:val="none" w:sz="0" w:space="0" w:color="auto"/>
      </w:divBdr>
    </w:div>
    <w:div w:id="1938361763">
      <w:bodyDiv w:val="1"/>
      <w:marLeft w:val="0"/>
      <w:marRight w:val="0"/>
      <w:marTop w:val="0"/>
      <w:marBottom w:val="0"/>
      <w:divBdr>
        <w:top w:val="none" w:sz="0" w:space="0" w:color="auto"/>
        <w:left w:val="none" w:sz="0" w:space="0" w:color="auto"/>
        <w:bottom w:val="none" w:sz="0" w:space="0" w:color="auto"/>
        <w:right w:val="none" w:sz="0" w:space="0" w:color="auto"/>
      </w:divBdr>
    </w:div>
    <w:div w:id="2036343835">
      <w:bodyDiv w:val="1"/>
      <w:marLeft w:val="0"/>
      <w:marRight w:val="0"/>
      <w:marTop w:val="0"/>
      <w:marBottom w:val="0"/>
      <w:divBdr>
        <w:top w:val="none" w:sz="0" w:space="0" w:color="auto"/>
        <w:left w:val="none" w:sz="0" w:space="0" w:color="auto"/>
        <w:bottom w:val="none" w:sz="0" w:space="0" w:color="auto"/>
        <w:right w:val="none" w:sz="0" w:space="0" w:color="auto"/>
      </w:divBdr>
    </w:div>
    <w:div w:id="211498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Han22</b:Tag>
    <b:SourceType>InternetSite</b:SourceType>
    <b:Guid>{4FC9375E-63B4-455A-B2B3-049CD15B1CA9}</b:Guid>
    <b:Author>
      <b:Author>
        <b:NameList>
          <b:Person>
            <b:Last>Padilla</b:Last>
            <b:First>Hannah</b:First>
          </b:Person>
        </b:NameList>
      </b:Author>
    </b:Author>
    <b:Title>Financial Audit: Securities and Exchange Commission's FY 2022 and FY 2021 Financial Statements</b:Title>
    <b:InternetSiteTitle>GAO</b:InternetSiteTitle>
    <b:Year>2022</b:Year>
    <b:Month>Nov</b:Month>
    <b:Day>15</b:Day>
    <b:URL>https://www.gao.gov/products/gao-23-105791#:~:text=SEC%20is%20required%20by%20law,Office%20of%20Management%20and%20Budget.</b:URL>
    <b:RefOrder>1</b:RefOrder>
  </b:Source>
  <b:Source>
    <b:Tag>Jai23</b:Tag>
    <b:SourceType>InternetSite</b:SourceType>
    <b:Guid>{6385397C-32E0-4AC4-81E8-8DABFDD831D4}</b:Guid>
    <b:Author>
      <b:Author>
        <b:NameList>
          <b:Person>
            <b:Last>Andales</b:Last>
            <b:First>Jai</b:First>
          </b:Person>
        </b:NameList>
      </b:Author>
    </b:Author>
    <b:Title>Risk Assessment</b:Title>
    <b:InternetSiteTitle>safetyculture</b:InternetSiteTitle>
    <b:Year> 2023</b:Year>
    <b:Month>Sep </b:Month>
    <b:Day>10 </b:Day>
    <b:URL>https://safetyculture.com/topics/risk-assessment/</b:URL>
    <b:RefOrder>2</b:RefOrder>
  </b:Source>
</b:Sources>
</file>

<file path=customXml/itemProps1.xml><?xml version="1.0" encoding="utf-8"?>
<ds:datastoreItem xmlns:ds="http://schemas.openxmlformats.org/officeDocument/2006/customXml" ds:itemID="{EFBC03D3-AA44-40BE-ADF2-357B22DA4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2989</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الاء القحطاني -</dc:creator>
  <cp:keywords/>
  <dc:description/>
  <cp:lastModifiedBy>ja ja</cp:lastModifiedBy>
  <cp:revision>3</cp:revision>
  <dcterms:created xsi:type="dcterms:W3CDTF">2023-09-15T20:23:00Z</dcterms:created>
  <dcterms:modified xsi:type="dcterms:W3CDTF">2023-12-16T21:00:00Z</dcterms:modified>
</cp:coreProperties>
</file>