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0594F"/>
          <w:sz w:val="20"/>
          <w:szCs w:val="20"/>
        </w:rPr>
        <w:t xml:space="preserve">BNP Paribas – Liquid Alternatives</w:t>
      </w:r>
    </w:p>
    <w:p>
      <w:pPr>
        <w:spacing w:after="260"/>
      </w:pPr>
      <w:r>
        <w:rPr>
          <w:b/>
          <w:bCs/>
          <w:color w:val="1F5F45"/>
          <w:sz w:val="40"/>
          <w:szCs w:val="40"/>
        </w:rPr>
        <w:t xml:space="preserve">Consolidated Shared LLM Service</w:t>
      </w:r>
    </w:p>
    <w:p>
      <w:pPr>
        <w:spacing w:after="200"/>
      </w:pPr>
      <w:r>
        <w:rPr>
          <w:i/>
          <w:iCs/>
          <w:color w:val="50594F"/>
          <w:sz w:val="22"/>
          <w:szCs w:val="22"/>
        </w:rPr>
        <w:t xml:space="preserve">A single platform behind UC-021, UC-023 and UC-004</w:t>
      </w:r>
    </w:p>
    <w:p>
      <w:pPr>
        <w:pStyle w:val="Heading1"/>
        <w:spacing w:after="160" w:before="200"/>
      </w:pPr>
      <w:r>
        <w:rPr>
          <w:b/>
          <w:bCs/>
          <w:color w:val="1F5F45"/>
          <w:sz w:val="30"/>
          <w:szCs w:val="30"/>
        </w:rPr>
        <w:t xml:space="preserve">Overview</w:t>
      </w:r>
    </w:p>
    <w:p>
      <w:pPr>
        <w:spacing w:after="160"/>
      </w:pPr>
      <w:r>
        <w:rPr>
          <w:color w:val="1F2B24"/>
          <w:sz w:val="22"/>
          <w:szCs w:val="22"/>
        </w:rPr>
        <w:t xml:space="preserve">UC-021 (security callback scripts), UC-023 (KYC document processing) and UC-004 (invoice payment processing) were scored independently in the AI use case portfolio review, but all three rely on the same underlying capability: a large language model. Rather than each team building and operating its own integration, the three can be consolidated behind a single shared LLM service that is provider-agnostic – it can sit in front of any large language model vendor without the use cases themselves changing.</w:t>
      </w:r>
    </w:p>
    <w:p>
      <w:pPr>
        <w:spacing w:after="160"/>
      </w:pPr>
      <w:r>
        <w:rPr>
          <w:color w:val="1F2B24"/>
          <w:sz w:val="22"/>
          <w:szCs w:val="22"/>
        </w:rPr>
        <w:t xml:space="preserve">The service exposes two capabilities, not one. Generation takes a prompt and returns text – this is what UC-021 uses to draft security callback questions. Extraction takes a document and returns schema-validated structured data – this is what UC-023 and UC-004 use to pull fields out of KYC certificates and invoices. UC-021 does not touch the extraction pipeline at all: the consolidation is at the platform level, not the pipeline level, and that distinction is worth keeping explicit when this is presented.</w:t>
      </w:r>
    </w:p>
    <w:p>
      <w:pPr>
        <w:pStyle w:val="Heading2"/>
        <w:spacing w:after="120" w:before="240"/>
      </w:pPr>
      <w:r>
        <w:rPr>
          <w:b/>
          <w:bCs/>
          <w:color w:val="1F2B24"/>
          <w:sz w:val="24"/>
          <w:szCs w:val="24"/>
        </w:rPr>
        <w:t xml:space="preserve">Solution diagram</w:t>
      </w:r>
    </w:p>
    <w:p>
      <w:pPr>
        <w:spacing w:after="120"/>
        <w:jc w:val="center"/>
      </w:pPr>
      <w:r>
        <w:drawing>
          <wp:inline distT="0" distB="0" distL="0" distR="0">
            <wp:extent cx="5343525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iCs/>
          <w:color w:val="50594F"/>
          <w:sz w:val="18"/>
          <w:szCs w:val="18"/>
        </w:rPr>
        <w:t xml:space="preserve">Figure 1: End-to-end data flow – inputs, shared capabilities, use case logic and downstream systems.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B24"/>
          <w:sz w:val="24"/>
          <w:szCs w:val="24"/>
        </w:rPr>
        <w:t xml:space="preserve">Capability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pct" w:w="24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pct" w:w="24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pct" w:w="34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pct" w:w="18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B24"/>
                <w:sz w:val="19"/>
                <w:szCs w:val="19"/>
              </w:rPr>
              <w:t xml:space="preserve">Generation</w:t>
            </w:r>
          </w:p>
        </w:tc>
        <w:tc>
          <w:tcPr>
            <w:tcW w:type="pct" w:w="2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A prompt describing the scenario</w:t>
            </w:r>
          </w:p>
        </w:tc>
        <w:tc>
          <w:tcPr>
            <w:tcW w:type="pct" w:w="2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Free text – no schema</w:t>
            </w:r>
          </w:p>
        </w:tc>
        <w:tc>
          <w:tcPr>
            <w:tcW w:type="pct" w:w="3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UC-021 – security callback scripts</w:t>
            </w:r>
          </w:p>
        </w:tc>
      </w:tr>
      <w:tr>
        <w:tc>
          <w:tcPr>
            <w:tcW w:type="pct" w:w="18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B24"/>
                <w:sz w:val="19"/>
                <w:szCs w:val="19"/>
              </w:rPr>
              <w:t xml:space="preserve">Extraction</w:t>
            </w:r>
          </w:p>
        </w:tc>
        <w:tc>
          <w:tcPr>
            <w:tcW w:type="pct" w:w="2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A document (PDF / email attachment)</w:t>
            </w:r>
          </w:p>
        </w:tc>
        <w:tc>
          <w:tcPr>
            <w:tcW w:type="pct" w:w="2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Structured JSON, schema-validated</w:t>
            </w:r>
          </w:p>
        </w:tc>
        <w:tc>
          <w:tcPr>
            <w:tcW w:type="pct" w:w="3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UC-023 – KYC documents; UC-004 – invoices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2B24"/>
          <w:sz w:val="24"/>
          <w:szCs w:val="24"/>
        </w:rPr>
        <w:t xml:space="preserve">Use case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pct" w:w="20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pct" w:w="16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 used</w:t>
            </w:r>
          </w:p>
        </w:tc>
        <w:tc>
          <w:tcPr>
            <w:tcW w:type="pct" w:w="22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Human control</w:t>
            </w:r>
          </w:p>
        </w:tc>
        <w:tc>
          <w:tcPr>
            <w:tcW w:type="pct" w:w="28%"/>
            <w:tcBorders>
              <w:top w:val="single" w:color="1F5F45" w:sz="4"/>
              <w:left w:val="single" w:color="1F5F45" w:sz="4"/>
              <w:bottom w:val="single" w:color="1F5F45" w:sz="4"/>
              <w:right w:val="single" w:color="1F5F45" w:sz="4"/>
            </w:tcBorders>
            <w:shd w:fill="1F5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 of record</w:t>
            </w:r>
          </w:p>
        </w:tc>
      </w:tr>
      <w:tr>
        <w:tc>
          <w:tcPr>
            <w:tcW w:type="pct" w:w="1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B24"/>
                <w:sz w:val="19"/>
                <w:szCs w:val="19"/>
              </w:rPr>
              <w:t xml:space="preserve">UC-021</w:t>
            </w:r>
          </w:p>
        </w:tc>
        <w:tc>
          <w:tcPr>
            <w:tcW w:type="pct" w:w="20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Redemption bank-detail change requiring a callback</w:t>
            </w:r>
          </w:p>
        </w:tc>
        <w:tc>
          <w:tcPr>
            <w:tcW w:type="pct" w:w="16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Generation</w:t>
            </w:r>
          </w:p>
        </w:tc>
        <w:tc>
          <w:tcPr>
            <w:tcW w:type="pct" w:w="22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Ops staff use the script live on the call – nothing is auto-actioned</w:t>
            </w:r>
          </w:p>
        </w:tc>
        <w:tc>
          <w:tcPr>
            <w:tcW w:type="pct" w:w="28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N/A – output is used, not stored</w:t>
            </w:r>
          </w:p>
        </w:tc>
      </w:tr>
      <w:tr>
        <w:tc>
          <w:tcPr>
            <w:tcW w:type="pct" w:w="1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B24"/>
                <w:sz w:val="19"/>
                <w:szCs w:val="19"/>
              </w:rPr>
              <w:t xml:space="preserve">UC-023</w:t>
            </w:r>
          </w:p>
        </w:tc>
        <w:tc>
          <w:tcPr>
            <w:tcW w:type="pct" w:w="20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Certified KYC PDF received by email</w:t>
            </w:r>
          </w:p>
        </w:tc>
        <w:tc>
          <w:tcPr>
            <w:tcW w:type="pct" w:w="16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Extraction</w:t>
            </w:r>
          </w:p>
        </w:tc>
        <w:tc>
          <w:tcPr>
            <w:tcW w:type="pct" w:w="22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Maker-checker retained – maker verifies extracted fields</w:t>
            </w:r>
          </w:p>
        </w:tc>
        <w:tc>
          <w:tcPr>
            <w:tcW w:type="pct" w:w="28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NTAS GRID loader file</w:t>
            </w:r>
          </w:p>
        </w:tc>
      </w:tr>
      <w:tr>
        <w:tc>
          <w:tcPr>
            <w:tcW w:type="pct" w:w="14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B24"/>
                <w:sz w:val="19"/>
                <w:szCs w:val="19"/>
              </w:rPr>
              <w:t xml:space="preserve">UC-004</w:t>
            </w:r>
          </w:p>
        </w:tc>
        <w:tc>
          <w:tcPr>
            <w:tcW w:type="pct" w:w="20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Client invoice PDF received by email</w:t>
            </w:r>
          </w:p>
        </w:tc>
        <w:tc>
          <w:tcPr>
            <w:tcW w:type="pct" w:w="16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Extraction</w:t>
            </w:r>
          </w:p>
        </w:tc>
        <w:tc>
          <w:tcPr>
            <w:tcW w:type="pct" w:w="22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4-eye review retained at each control point</w:t>
            </w:r>
          </w:p>
        </w:tc>
        <w:tc>
          <w:tcPr>
            <w:tcW w:type="pct" w:w="28%"/>
            <w:tcBorders>
              <w:top w:val="single" w:color="D8DED8" w:sz="4"/>
              <w:left w:val="single" w:color="D8DED8" w:sz="4"/>
              <w:bottom w:val="single" w:color="D8DED8" w:sz="4"/>
              <w:right w:val="single" w:color="D8DED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0594F"/>
                <w:sz w:val="19"/>
                <w:szCs w:val="19"/>
              </w:rPr>
              <w:t xml:space="preserve">Neolink, Geneva, NAV control pack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2B24"/>
          <w:sz w:val="24"/>
          <w:szCs w:val="24"/>
        </w:rPr>
        <w:t xml:space="preserve">Why this shape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Provider-agnostic – the service sits in front of the LLM vendor, not the use case; switching or multi-sourcing the model doesn't touch UC-021, UC-023 or UC-004.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One service, two capabilities – generation and extraction are the only two things any of these use cases actually need from an LLM; a third use case can extend the platform without a third integration.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Consolidation is at the platform level, not the pipeline level – UC-021 shares the service with UC-023 and UC-004, but not their document pipeline; be explicit about that distinction when presenting this to avoid overstating the overlap.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Human control is preserved per use case – the shared service only ever perceives (generates or extracts); it never posts, uploads or decides. Each use case keeps its own control gate and system of record.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B24"/>
          <w:sz w:val="22"/>
          <w:szCs w:val="22"/>
        </w:rPr>
        <w:t xml:space="preserve">Single place to govern – auth, rate limits, prompt versioning, logging and cost sit in one service rather than three independent integrations, simplifying model-risk and audit review.</w:t>
      </w:r>
    </w:p>
    <w:p>
      <w:pPr>
        <w:pBdr>
          <w:top w:val="single" w:color="D8DED8" w:sz="4" w:space="8"/>
        </w:pBdr>
        <w:spacing w:before="300"/>
      </w:pPr>
      <w:r>
        <w:rPr>
          <w:color w:val="50594F"/>
          <w:sz w:val="16"/>
          <w:szCs w:val="16"/>
        </w:rPr>
        <w:t xml:space="preserve">AI Use Case Portfolio Review – Consolidated Shared LLM Service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7858acda4e40b0e521aec78c4ffb9fe4565b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2026-08-20T15:56:31.528Z</dcterms:created>
  <dcterms:modified xsi:type="dcterms:W3CDTF">2026-08-20T15:56:31.539Z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