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0594F"/>
          <w:sz w:val="20"/>
          <w:szCs w:val="20"/>
        </w:rPr>
        <w:t xml:space="preserve">BNP Paribas – Liquid Alternatives</w:t>
      </w:r>
    </w:p>
    <w:p>
      <w:pPr>
        <w:spacing w:after="260"/>
      </w:pPr>
      <w:r>
        <w:rPr>
          <w:b/>
          <w:bCs/>
          <w:color w:val="1F5F45"/>
          <w:sz w:val="40"/>
          <w:szCs w:val="40"/>
        </w:rPr>
        <w:t xml:space="preserve">UC-022 – Client Trade File Processing</w:t>
      </w:r>
    </w:p>
    <w:p>
      <w:pPr>
        <w:spacing w:after="200"/>
      </w:pPr>
      <w:r>
        <w:rPr>
          <w:i/>
          <w:iCs/>
          <w:color w:val="50594F"/>
          <w:sz w:val="22"/>
          <w:szCs w:val="22"/>
        </w:rPr>
        <w:t xml:space="preserve">High-level solution diagram – data flow</w:t>
      </w:r>
    </w:p>
    <w:p>
      <w:pPr>
        <w:pStyle w:val="Heading1"/>
        <w:spacing w:after="160" w:before="200"/>
      </w:pPr>
      <w:r>
        <w:rPr>
          <w:b/>
          <w:bCs/>
          <w:color w:val="1F5F45"/>
          <w:sz w:val="30"/>
          <w:szCs w:val="30"/>
        </w:rPr>
        <w:t xml:space="preserve">Overview</w:t>
      </w:r>
    </w:p>
    <w:p>
      <w:pPr>
        <w:spacing w:after="160"/>
      </w:pPr>
      <w:r>
        <w:rPr>
          <w:color w:val="1F2B24"/>
          <w:sz w:val="22"/>
          <w:szCs w:val="22"/>
        </w:rPr>
        <w:t xml:space="preserve">Client trade files currently arrive via SFTP and are handled manually end to end: a team member checks the SFTP site for new files, selects the relevant trades against a set of criteria, formats the details with a macro, and uploads the result to Neolink. The proposed solution automates every step up to the final Neolink review and release, which stays with a human operator as the control gate.</w:t>
      </w:r>
    </w:p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Solution diagram</w:t>
      </w:r>
    </w:p>
    <w:p>
      <w:pPr>
        <w:spacing w:after="120"/>
        <w:jc w:val="center"/>
      </w:pPr>
      <w:r>
        <w:drawing>
          <wp:inline distT="0" distB="0" distL="0" distR="0">
            <wp:extent cx="53435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iCs/>
          <w:color w:val="50594F"/>
          <w:sz w:val="18"/>
          <w:szCs w:val="18"/>
        </w:rPr>
        <w:t xml:space="preserve">Figure 1: End-to-end data flow, from SFTP receipt to final human release.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Step-by-step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.3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8A2E"/>
                <w:sz w:val="17"/>
                <w:szCs w:val="17"/>
              </w:rPr>
              <w:t xml:space="preserve">STEP 1</w:t>
            </w:r>
          </w:p>
          <w:p>
            <w:pPr>
              <w:spacing w:after="60"/>
            </w:pPr>
            <w:r>
              <w:rPr>
                <w:b/>
                <w:bCs/>
                <w:color w:val="1F2B24"/>
                <w:sz w:val="22"/>
                <w:szCs w:val="22"/>
              </w:rPr>
              <w:t xml:space="preserve">SFTP server</w:t>
            </w:r>
          </w:p>
          <w:p>
            <w:r>
              <w:rPr>
                <w:color w:val="50594F"/>
                <w:sz w:val="20"/>
                <w:szCs w:val="20"/>
              </w:rPr>
              <w:t xml:space="preserve">Client trade file is dropped on the SFTP site.</w:t>
            </w:r>
          </w:p>
        </w:tc>
        <w:tc>
          <w:tcPr>
            <w:tcW w:type="pct" w:w="33.3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8A2E"/>
                <w:sz w:val="17"/>
                <w:szCs w:val="17"/>
              </w:rPr>
              <w:t xml:space="preserve">STEP 2</w:t>
            </w:r>
          </w:p>
          <w:p>
            <w:pPr>
              <w:spacing w:after="60"/>
            </w:pPr>
            <w:r>
              <w:rPr>
                <w:b/>
                <w:bCs/>
                <w:color w:val="1F2B24"/>
                <w:sz w:val="22"/>
                <w:szCs w:val="22"/>
              </w:rPr>
              <w:t xml:space="preserve">Ingestion service</w:t>
            </w:r>
          </w:p>
          <w:p>
            <w:r>
              <w:rPr>
                <w:color w:val="50594F"/>
                <w:sz w:val="20"/>
                <w:szCs w:val="20"/>
              </w:rPr>
              <w:t xml:space="preserve">Automation detects and fetches the new file – no manual SFTP check.</w:t>
            </w:r>
          </w:p>
        </w:tc>
        <w:tc>
          <w:tcPr>
            <w:tcW w:type="pct" w:w="33.3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8A2E"/>
                <w:sz w:val="17"/>
                <w:szCs w:val="17"/>
              </w:rPr>
              <w:t xml:space="preserve">STEP 3</w:t>
            </w:r>
          </w:p>
          <w:p>
            <w:pPr>
              <w:spacing w:after="60"/>
            </w:pPr>
            <w:r>
              <w:rPr>
                <w:b/>
                <w:bCs/>
                <w:color w:val="1F2B24"/>
                <w:sz w:val="22"/>
                <w:szCs w:val="22"/>
              </w:rPr>
              <w:t xml:space="preserve">Rules engine</w:t>
            </w:r>
          </w:p>
          <w:p>
            <w:r>
              <w:rPr>
                <w:color w:val="50594F"/>
                <w:sz w:val="20"/>
                <w:szCs w:val="20"/>
              </w:rPr>
              <w:t xml:space="preserve">Determines the relevant trade lines by rule, not by hand.</w:t>
            </w:r>
          </w:p>
        </w:tc>
      </w:tr>
      <w:tr>
        <w:tc>
          <w:tcPr>
            <w:tcW w:type="pct" w:w="33.3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8A2E"/>
                <w:sz w:val="17"/>
                <w:szCs w:val="17"/>
              </w:rPr>
              <w:t xml:space="preserve">STEP 4</w:t>
            </w:r>
          </w:p>
          <w:p>
            <w:pPr>
              <w:spacing w:after="60"/>
            </w:pPr>
            <w:r>
              <w:rPr>
                <w:b/>
                <w:bCs/>
                <w:color w:val="1F2B24"/>
                <w:sz w:val="22"/>
                <w:szCs w:val="22"/>
              </w:rPr>
              <w:t xml:space="preserve">Format converter</w:t>
            </w:r>
          </w:p>
          <w:p>
            <w:r>
              <w:rPr>
                <w:color w:val="50594F"/>
                <w:sz w:val="20"/>
                <w:szCs w:val="20"/>
              </w:rPr>
              <w:t xml:space="preserve">Converts the selected lines to the Neolink upload format.</w:t>
            </w:r>
          </w:p>
        </w:tc>
        <w:tc>
          <w:tcPr>
            <w:tcW w:type="pct" w:w="33.3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8A2E"/>
                <w:sz w:val="17"/>
                <w:szCs w:val="17"/>
              </w:rPr>
              <w:t xml:space="preserve">STEP 5</w:t>
            </w:r>
          </w:p>
          <w:p>
            <w:pPr>
              <w:spacing w:after="60"/>
            </w:pPr>
            <w:r>
              <w:rPr>
                <w:b/>
                <w:bCs/>
                <w:color w:val="1F2B24"/>
                <w:sz w:val="22"/>
                <w:szCs w:val="22"/>
              </w:rPr>
              <w:t xml:space="preserve">Neolink upload</w:t>
            </w:r>
          </w:p>
          <w:p>
            <w:r>
              <w:rPr>
                <w:color w:val="50594F"/>
                <w:sz w:val="20"/>
                <w:szCs w:val="20"/>
              </w:rPr>
              <w:t xml:space="preserve">Loads the file to Neolink and sends a notification email to the team.</w:t>
            </w:r>
          </w:p>
        </w:tc>
        <w:tc>
          <w:tcPr>
            <w:tcW w:type="pct" w:w="33.3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8A2E"/>
                <w:sz w:val="17"/>
                <w:szCs w:val="17"/>
              </w:rPr>
              <w:t xml:space="preserve">STEP 6</w:t>
            </w:r>
          </w:p>
          <w:p>
            <w:pPr>
              <w:spacing w:after="60"/>
            </w:pPr>
            <w:r>
              <w:rPr>
                <w:b/>
                <w:bCs/>
                <w:color w:val="1F2B24"/>
                <w:sz w:val="22"/>
                <w:szCs w:val="22"/>
              </w:rPr>
              <w:t xml:space="preserve">Human review</w:t>
            </w:r>
          </w:p>
          <w:p>
            <w:r>
              <w:rPr>
                <w:color w:val="50594F"/>
                <w:sz w:val="20"/>
                <w:szCs w:val="20"/>
              </w:rPr>
              <w:t xml:space="preserve">Final review and release performed by a human operator – the retained control gate.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Why this shape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Deterministic automation, not model risk – file detection, trade selection and format conversion are rule-based, not LLM-based.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The only manual step retained is the final release in Neolink – the control that matters is preserved.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Notification is a side-effect of the upload step, not a separate manual task – the team is told, not asked to check.</w:t>
      </w:r>
    </w:p>
    <w:p>
      <w:pPr>
        <w:pBdr>
          <w:top w:val="single" w:color="D8DED8" w:sz="4" w:space="8"/>
        </w:pBdr>
        <w:spacing w:before="300"/>
      </w:pPr>
      <w:r>
        <w:rPr>
          <w:color w:val="50594F"/>
          <w:sz w:val="16"/>
          <w:szCs w:val="16"/>
        </w:rPr>
        <w:t xml:space="preserve">AI Use Case Portfolio Review – UC-022 solution diagram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cf683cbf443c9b4f0b593ea247a223f2733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2026-08-20T11:33:40.504Z</dcterms:created>
  <dcterms:modified xsi:type="dcterms:W3CDTF">2026-08-20T11:33:40.505Z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