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b/>
          <w:color w:val="102440"/>
          <w:sz w:val="52"/>
        </w:rPr>
        <w:t>AI AGENT-BASED INVOICE PROCESSING SYSTEM</w:t>
      </w:r>
    </w:p>
    <w:p>
      <w:pPr>
        <w:jc w:val="center"/>
      </w:pPr>
      <w:r>
        <w:rPr>
          <w:color w:val="586370"/>
          <w:sz w:val="30"/>
        </w:rPr>
        <w:t>Business Design Overview</w:t>
      </w:r>
    </w:p>
    <w:p>
      <w:pPr>
        <w:jc w:val="center"/>
      </w:pPr>
      <w:r>
        <w:rPr>
          <w:color w:val="22539B"/>
          <w:sz w:val="24"/>
        </w:rPr>
        <w:t>Automated | Accurate | Auditable | Integrated</w:t>
      </w:r>
    </w:p>
    <w:p>
      <w:pPr>
        <w:jc w:val="center"/>
      </w:pPr>
      <w:r>
        <w:drawing>
          <wp:inline xmlns:a="http://schemas.openxmlformats.org/drawingml/2006/main" xmlns:pic="http://schemas.openxmlformats.org/drawingml/2006/picture">
            <wp:extent cx="8641080" cy="5760720"/>
            <wp:docPr id="1" name="Picture 1"/>
            <wp:cNvGraphicFramePr>
              <a:graphicFrameLocks noChangeAspect="1"/>
            </wp:cNvGraphicFramePr>
            <a:graphic>
              <a:graphicData uri="http://schemas.openxmlformats.org/drawingml/2006/picture">
                <pic:pic>
                  <pic:nvPicPr>
                    <pic:cNvPr id="0" name="orchestration.png"/>
                    <pic:cNvPicPr/>
                  </pic:nvPicPr>
                  <pic:blipFill>
                    <a:blip r:embed="rId10"/>
                    <a:stretch>
                      <a:fillRect/>
                    </a:stretch>
                  </pic:blipFill>
                  <pic:spPr>
                    <a:xfrm>
                      <a:off x="0" y="0"/>
                      <a:ext cx="8641080" cy="5760720"/>
                    </a:xfrm>
                    <a:prstGeom prst="rect"/>
                  </pic:spPr>
                </pic:pic>
              </a:graphicData>
            </a:graphic>
          </wp:inline>
        </w:drawing>
      </w:r>
    </w:p>
    <w:tbl>
      <w:tblPr>
        <w:tblW w:type="auto" w:w="0"/>
        <w:jc w:val="center"/>
        <w:tblLayout w:type="autofit"/>
        <w:tblLook w:firstColumn="1" w:firstRow="1" w:lastColumn="0" w:lastRow="0" w:noHBand="0" w:noVBand="1" w:val="04A0"/>
      </w:tblPr>
      <w:tblGrid>
        <w:gridCol w:w="14256"/>
      </w:tblGrid>
      <w:tr>
        <w:tc>
          <w:tcPr>
            <w:tcW w:type="dxa" w:w="14256"/>
            <w:shd w:fill="F5F7FA"/>
            <w:tcBorders>
              <w:top w:val="single" w:sz="6" w:space="0" w:color="B6C6D8"/>
              <w:left w:val="single" w:sz="6" w:space="0" w:color="B6C6D8"/>
              <w:bottom w:val="single" w:sz="6" w:space="0" w:color="B6C6D8"/>
              <w:right w:val="single" w:sz="6" w:space="0" w:color="B6C6D8"/>
            </w:tcBorders>
          </w:tcPr>
          <w:p>
            <w:pPr>
              <w:spacing w:after="60"/>
            </w:pPr>
            <w:r/>
            <w:r>
              <w:rPr>
                <w:b/>
                <w:color w:val="102440"/>
                <w:sz w:val="22"/>
              </w:rPr>
              <w:t>Purpose of this document</w:t>
            </w:r>
          </w:p>
          <w:p>
            <w:pPr>
              <w:spacing w:after="40"/>
            </w:pPr>
            <w:r>
              <w:rPr>
                <w:sz w:val="19"/>
              </w:rPr>
              <w:t>This overview explains the proposed AI-enabled invoice processing model in business terms: what changes, which controls remain, how exceptions are handled, and where business teams retain review and approval authority.</w:t>
            </w:r>
          </w:p>
        </w:tc>
      </w:tr>
    </w:tbl>
    <w:p>
      <w:r>
        <w:br w:type="page"/>
      </w:r>
    </w:p>
    <w:p>
      <w:pPr>
        <w:pStyle w:val="Heading1"/>
      </w:pPr>
      <w:r>
        <w:rPr>
          <w:color w:val="102440"/>
          <w:sz w:val="36"/>
        </w:rPr>
        <w:t>1. Executive Summary</w:t>
      </w:r>
    </w:p>
    <w:p>
      <w:pPr>
        <w:spacing w:after="120" w:line="259" w:lineRule="auto"/>
      </w:pPr>
      <w:r>
        <w:rPr>
          <w:b w:val="0"/>
          <w:i w:val="0"/>
          <w:sz w:val="21"/>
        </w:rPr>
        <w:t>The proposed design automates today's manual invoice processing workflow using an AI agent orchestration layer. Invoices can arrive by email, upload portal, shared drive/SFTP, or ERP/other systems. The AI agents extract invoice information, validate it against master data and business rules, route exceptions for human review, post approved values to Geneva, create the NAV control pack, and send a clear success or failure response to the client.</w:t>
      </w:r>
    </w:p>
    <w:tbl>
      <w:tblPr>
        <w:tblW w:type="auto" w:w="0"/>
        <w:jc w:val="center"/>
        <w:tblLayout w:type="fixed"/>
        <w:tblLook w:firstColumn="1" w:firstRow="1" w:lastColumn="0" w:lastRow="0" w:noHBand="0" w:noVBand="1" w:val="04A0"/>
      </w:tblPr>
      <w:tblGrid>
        <w:gridCol w:w="3312"/>
        <w:gridCol w:w="10944"/>
      </w:tblGrid>
      <w:tr>
        <w:tc>
          <w:tcPr>
            <w:tcW w:type="dxa" w:w="7128"/>
            <w:vAlign w:val="center"/>
            <w:shd w:fill="102440"/>
            <w:tcBorders>
              <w:top w:val="single" w:sz="6" w:space="0" w:color="64748B"/>
              <w:left w:val="single" w:sz="6" w:space="0" w:color="64748B"/>
              <w:bottom w:val="single" w:sz="6" w:space="0" w:color="64748B"/>
              <w:right w:val="single" w:sz="6" w:space="0" w:color="64748B"/>
            </w:tcBorders>
          </w:tcPr>
          <w:p>
            <w:r/>
            <w:r>
              <w:rPr>
                <w:b/>
                <w:color w:val="FFFFFF"/>
                <w:sz w:val="19"/>
              </w:rPr>
              <w:t>Business outcome</w:t>
            </w:r>
          </w:p>
        </w:tc>
        <w:tc>
          <w:tcPr>
            <w:tcW w:type="dxa" w:w="7128"/>
            <w:vAlign w:val="center"/>
            <w:shd w:fill="102440"/>
            <w:tcBorders>
              <w:top w:val="single" w:sz="6" w:space="0" w:color="64748B"/>
              <w:left w:val="single" w:sz="6" w:space="0" w:color="64748B"/>
              <w:bottom w:val="single" w:sz="6" w:space="0" w:color="64748B"/>
              <w:right w:val="single" w:sz="6" w:space="0" w:color="64748B"/>
            </w:tcBorders>
          </w:tcPr>
          <w:p>
            <w:r/>
            <w:r>
              <w:rPr>
                <w:b/>
                <w:color w:val="FFFFFF"/>
                <w:sz w:val="19"/>
              </w:rPr>
              <w:t>How the design supports it</w:t>
            </w:r>
          </w:p>
        </w:tc>
      </w:tr>
      <w:tr>
        <w:tc>
          <w:tcPr>
            <w:tcW w:type="dxa" w:w="3312"/>
            <w:vAlign w:val="center"/>
            <w:shd w:fill="EAF2FB"/>
            <w:tcBorders>
              <w:top w:val="single" w:sz="6" w:space="0" w:color="CBD5E1"/>
              <w:left w:val="single" w:sz="6" w:space="0" w:color="CBD5E1"/>
              <w:bottom w:val="single" w:sz="6" w:space="0" w:color="CBD5E1"/>
              <w:right w:val="single" w:sz="6" w:space="0" w:color="CBD5E1"/>
            </w:tcBorders>
          </w:tcPr>
          <w:p>
            <w:r/>
            <w:r>
              <w:rPr>
                <w:b/>
                <w:color w:val="102440"/>
                <w:sz w:val="18"/>
              </w:rPr>
              <w:t>Faster turnaround</w:t>
            </w:r>
          </w:p>
        </w:tc>
        <w:tc>
          <w:tcPr>
            <w:tcW w:type="dxa" w:w="10944"/>
            <w:vAlign w:val="center"/>
            <w:shd w:fill="FFFFFF"/>
            <w:tcBorders>
              <w:top w:val="single" w:sz="6" w:space="0" w:color="CBD5E1"/>
              <w:left w:val="single" w:sz="6" w:space="0" w:color="CBD5E1"/>
              <w:bottom w:val="single" w:sz="6" w:space="0" w:color="CBD5E1"/>
              <w:right w:val="single" w:sz="6" w:space="0" w:color="CBD5E1"/>
            </w:tcBorders>
          </w:tcPr>
          <w:p>
            <w:r/>
            <w:r>
              <w:rPr>
                <w:b w:val="0"/>
                <w:sz w:val="18"/>
              </w:rPr>
              <w:t>Reduces manual handoffs and repeated data entry across invoice intake, review, downstream posting, and client communication.</w:t>
            </w:r>
          </w:p>
        </w:tc>
      </w:tr>
      <w:tr>
        <w:tc>
          <w:tcPr>
            <w:tcW w:type="dxa" w:w="3312"/>
            <w:vAlign w:val="center"/>
            <w:shd w:fill="EAF2FB"/>
            <w:tcBorders>
              <w:top w:val="single" w:sz="6" w:space="0" w:color="CBD5E1"/>
              <w:left w:val="single" w:sz="6" w:space="0" w:color="CBD5E1"/>
              <w:bottom w:val="single" w:sz="6" w:space="0" w:color="CBD5E1"/>
              <w:right w:val="single" w:sz="6" w:space="0" w:color="CBD5E1"/>
            </w:tcBorders>
          </w:tcPr>
          <w:p>
            <w:r/>
            <w:r>
              <w:rPr>
                <w:b/>
                <w:color w:val="102440"/>
                <w:sz w:val="18"/>
              </w:rPr>
              <w:t>Higher accuracy</w:t>
            </w:r>
          </w:p>
        </w:tc>
        <w:tc>
          <w:tcPr>
            <w:tcW w:type="dxa" w:w="10944"/>
            <w:vAlign w:val="center"/>
            <w:shd w:fill="FFFFFF"/>
            <w:tcBorders>
              <w:top w:val="single" w:sz="6" w:space="0" w:color="CBD5E1"/>
              <w:left w:val="single" w:sz="6" w:space="0" w:color="CBD5E1"/>
              <w:bottom w:val="single" w:sz="6" w:space="0" w:color="CBD5E1"/>
              <w:right w:val="single" w:sz="6" w:space="0" w:color="CBD5E1"/>
            </w:tcBorders>
          </w:tcPr>
          <w:p>
            <w:r/>
            <w:r>
              <w:rPr>
                <w:b w:val="0"/>
                <w:sz w:val="18"/>
              </w:rPr>
              <w:t>Applies consistent extraction, validation, enrichment, and comparison checks before values are posted.</w:t>
            </w:r>
          </w:p>
        </w:tc>
      </w:tr>
      <w:tr>
        <w:tc>
          <w:tcPr>
            <w:tcW w:type="dxa" w:w="3312"/>
            <w:vAlign w:val="center"/>
            <w:shd w:fill="EAF2FB"/>
            <w:tcBorders>
              <w:top w:val="single" w:sz="6" w:space="0" w:color="CBD5E1"/>
              <w:left w:val="single" w:sz="6" w:space="0" w:color="CBD5E1"/>
              <w:bottom w:val="single" w:sz="6" w:space="0" w:color="CBD5E1"/>
              <w:right w:val="single" w:sz="6" w:space="0" w:color="CBD5E1"/>
            </w:tcBorders>
          </w:tcPr>
          <w:p>
            <w:r/>
            <w:r>
              <w:rPr>
                <w:b/>
                <w:color w:val="102440"/>
                <w:sz w:val="18"/>
              </w:rPr>
              <w:t>Audit-ready control</w:t>
            </w:r>
          </w:p>
        </w:tc>
        <w:tc>
          <w:tcPr>
            <w:tcW w:type="dxa" w:w="10944"/>
            <w:vAlign w:val="center"/>
            <w:shd w:fill="FFFFFF"/>
            <w:tcBorders>
              <w:top w:val="single" w:sz="6" w:space="0" w:color="CBD5E1"/>
              <w:left w:val="single" w:sz="6" w:space="0" w:color="CBD5E1"/>
              <w:bottom w:val="single" w:sz="6" w:space="0" w:color="CBD5E1"/>
              <w:right w:val="single" w:sz="6" w:space="0" w:color="CBD5E1"/>
            </w:tcBorders>
          </w:tcPr>
          <w:p>
            <w:r/>
            <w:r>
              <w:rPr>
                <w:b w:val="0"/>
                <w:sz w:val="18"/>
              </w:rPr>
              <w:t>Maintains a complete activity log showing what was received, extracted, validated, approved, posted, and communicated.</w:t>
            </w:r>
          </w:p>
        </w:tc>
      </w:tr>
      <w:tr>
        <w:tc>
          <w:tcPr>
            <w:tcW w:type="dxa" w:w="3312"/>
            <w:vAlign w:val="center"/>
            <w:shd w:fill="EAF2FB"/>
            <w:tcBorders>
              <w:top w:val="single" w:sz="6" w:space="0" w:color="CBD5E1"/>
              <w:left w:val="single" w:sz="6" w:space="0" w:color="CBD5E1"/>
              <w:bottom w:val="single" w:sz="6" w:space="0" w:color="CBD5E1"/>
              <w:right w:val="single" w:sz="6" w:space="0" w:color="CBD5E1"/>
            </w:tcBorders>
          </w:tcPr>
          <w:p>
            <w:r/>
            <w:r>
              <w:rPr>
                <w:b/>
                <w:color w:val="102440"/>
                <w:sz w:val="18"/>
              </w:rPr>
              <w:t>Human control retained</w:t>
            </w:r>
          </w:p>
        </w:tc>
        <w:tc>
          <w:tcPr>
            <w:tcW w:type="dxa" w:w="10944"/>
            <w:vAlign w:val="center"/>
            <w:shd w:fill="FFFFFF"/>
            <w:tcBorders>
              <w:top w:val="single" w:sz="6" w:space="0" w:color="CBD5E1"/>
              <w:left w:val="single" w:sz="6" w:space="0" w:color="CBD5E1"/>
              <w:bottom w:val="single" w:sz="6" w:space="0" w:color="CBD5E1"/>
              <w:right w:val="single" w:sz="6" w:space="0" w:color="CBD5E1"/>
            </w:tcBorders>
          </w:tcPr>
          <w:p>
            <w:r/>
            <w:r>
              <w:rPr>
                <w:b w:val="0"/>
                <w:sz w:val="18"/>
              </w:rPr>
              <w:t>Keeps four-eye review and exception queues for invoices that need judgement, approval, or correction.</w:t>
            </w:r>
          </w:p>
        </w:tc>
      </w:tr>
      <w:tr>
        <w:tc>
          <w:tcPr>
            <w:tcW w:type="dxa" w:w="3312"/>
            <w:vAlign w:val="center"/>
            <w:shd w:fill="EAF2FB"/>
            <w:tcBorders>
              <w:top w:val="single" w:sz="6" w:space="0" w:color="CBD5E1"/>
              <w:left w:val="single" w:sz="6" w:space="0" w:color="CBD5E1"/>
              <w:bottom w:val="single" w:sz="6" w:space="0" w:color="CBD5E1"/>
              <w:right w:val="single" w:sz="6" w:space="0" w:color="CBD5E1"/>
            </w:tcBorders>
          </w:tcPr>
          <w:p>
            <w:r/>
            <w:r>
              <w:rPr>
                <w:b/>
                <w:color w:val="102440"/>
                <w:sz w:val="18"/>
              </w:rPr>
              <w:t>Integrated operations</w:t>
            </w:r>
          </w:p>
        </w:tc>
        <w:tc>
          <w:tcPr>
            <w:tcW w:type="dxa" w:w="10944"/>
            <w:vAlign w:val="center"/>
            <w:shd w:fill="FFFFFF"/>
            <w:tcBorders>
              <w:top w:val="single" w:sz="6" w:space="0" w:color="CBD5E1"/>
              <w:left w:val="single" w:sz="6" w:space="0" w:color="CBD5E1"/>
              <w:bottom w:val="single" w:sz="6" w:space="0" w:color="CBD5E1"/>
              <w:right w:val="single" w:sz="6" w:space="0" w:color="CBD5E1"/>
            </w:tcBorders>
          </w:tcPr>
          <w:p>
            <w:r/>
            <w:r>
              <w:rPr>
                <w:b w:val="0"/>
                <w:sz w:val="18"/>
              </w:rPr>
              <w:t>Connects invoice processing to Geneva, NAV control pack generation, document repositories, and client notifications.</w:t>
            </w:r>
          </w:p>
        </w:tc>
      </w:tr>
    </w:tbl>
    <w:p>
      <w:pPr>
        <w:pStyle w:val="Heading2"/>
      </w:pPr>
      <w:r>
        <w:rPr>
          <w:color w:val="22539B"/>
          <w:sz w:val="26"/>
        </w:rPr>
        <w:t>Business view of the future process</w:t>
      </w:r>
    </w:p>
    <w:p>
      <w:pPr>
        <w:pStyle w:val="ListBullet"/>
        <w:spacing w:after="60"/>
      </w:pPr>
      <w:r>
        <w:rPr>
          <w:sz w:val="19"/>
        </w:rPr>
        <w:t>The system receives invoice documents and related messages through existing business channels.</w:t>
      </w:r>
    </w:p>
    <w:p>
      <w:pPr>
        <w:pStyle w:val="ListBullet"/>
        <w:spacing w:after="60"/>
      </w:pPr>
      <w:r>
        <w:rPr>
          <w:sz w:val="19"/>
        </w:rPr>
        <w:t>AI reads the invoice and extracts the relevant commercial and payment values.</w:t>
      </w:r>
    </w:p>
    <w:p>
      <w:pPr>
        <w:pStyle w:val="ListBullet"/>
        <w:spacing w:after="60"/>
      </w:pPr>
      <w:r>
        <w:rPr>
          <w:sz w:val="19"/>
        </w:rPr>
        <w:t>Business rules and reference data are applied before any downstream posting occurs.</w:t>
      </w:r>
    </w:p>
    <w:p>
      <w:pPr>
        <w:pStyle w:val="ListBullet"/>
        <w:spacing w:after="60"/>
      </w:pPr>
      <w:r>
        <w:rPr>
          <w:sz w:val="19"/>
        </w:rPr>
        <w:t>The system only escalates unclear or policy-sensitive cases to reviewers.</w:t>
      </w:r>
    </w:p>
    <w:p>
      <w:pPr>
        <w:pStyle w:val="ListBullet"/>
        <w:spacing w:after="60"/>
      </w:pPr>
      <w:r>
        <w:rPr>
          <w:sz w:val="19"/>
        </w:rPr>
        <w:t>Once approved, the system posts values, produces control evidence, and communicates the result back to the client.</w:t>
      </w:r>
    </w:p>
    <w:p>
      <w:r>
        <w:br w:type="page"/>
      </w:r>
    </w:p>
    <w:p>
      <w:pPr>
        <w:pStyle w:val="Heading1"/>
      </w:pPr>
      <w:r>
        <w:rPr>
          <w:color w:val="102440"/>
          <w:sz w:val="36"/>
        </w:rPr>
        <w:t>2. Target Operating Model</w:t>
      </w:r>
    </w:p>
    <w:p>
      <w:pPr>
        <w:spacing w:after="120" w:line="259" w:lineRule="auto"/>
      </w:pPr>
      <w:r>
        <w:rPr>
          <w:b w:val="0"/>
          <w:i w:val="0"/>
          <w:sz w:val="21"/>
        </w:rPr>
        <w:t>The design is built around an orchestrated set of specialised agents. From a business perspective, these agents are digital process participants that perform repeatable work, record evidence, and request human input when needed.</w:t>
      </w:r>
    </w:p>
    <w:tbl>
      <w:tblPr>
        <w:tblW w:type="auto" w:w="0"/>
        <w:jc w:val="center"/>
        <w:tblLook w:firstColumn="1" w:firstRow="1" w:lastColumn="0" w:lastRow="0" w:noHBand="0" w:noVBand="1" w:val="04A0"/>
      </w:tblPr>
      <w:tblGrid>
        <w:gridCol w:w="2851"/>
        <w:gridCol w:w="2851"/>
        <w:gridCol w:w="2851"/>
        <w:gridCol w:w="2851"/>
        <w:gridCol w:w="2851"/>
      </w:tblGrid>
      <w:tr>
        <w:tc>
          <w:tcPr>
            <w:tcW w:type="dxa" w:w="2851"/>
            <w:vAlign w:val="center"/>
            <w:shd w:fill="102440"/>
            <w:tcBorders>
              <w:top w:val="single" w:sz="6" w:space="0" w:color="64748B"/>
              <w:left w:val="single" w:sz="6" w:space="0" w:color="64748B"/>
              <w:bottom w:val="single" w:sz="6" w:space="0" w:color="64748B"/>
              <w:right w:val="single" w:sz="6" w:space="0" w:color="64748B"/>
            </w:tcBorders>
          </w:tcPr>
          <w:p>
            <w:pPr>
              <w:jc w:val="center"/>
            </w:pPr>
            <w:r/>
            <w:r>
              <w:rPr>
                <w:b/>
                <w:color w:val="FFFFFF"/>
                <w:sz w:val="17"/>
              </w:rPr>
              <w:t>Step</w:t>
            </w:r>
          </w:p>
        </w:tc>
        <w:tc>
          <w:tcPr>
            <w:tcW w:type="dxa" w:w="2851"/>
            <w:vAlign w:val="center"/>
            <w:shd w:fill="102440"/>
            <w:tcBorders>
              <w:top w:val="single" w:sz="6" w:space="0" w:color="64748B"/>
              <w:left w:val="single" w:sz="6" w:space="0" w:color="64748B"/>
              <w:bottom w:val="single" w:sz="6" w:space="0" w:color="64748B"/>
              <w:right w:val="single" w:sz="6" w:space="0" w:color="64748B"/>
            </w:tcBorders>
          </w:tcPr>
          <w:p>
            <w:pPr>
              <w:jc w:val="center"/>
            </w:pPr>
            <w:r/>
            <w:r>
              <w:rPr>
                <w:b/>
                <w:color w:val="FFFFFF"/>
                <w:sz w:val="17"/>
              </w:rPr>
              <w:t>Agent / process area</w:t>
            </w:r>
          </w:p>
        </w:tc>
        <w:tc>
          <w:tcPr>
            <w:tcW w:type="dxa" w:w="2851"/>
            <w:vAlign w:val="center"/>
            <w:shd w:fill="102440"/>
            <w:tcBorders>
              <w:top w:val="single" w:sz="6" w:space="0" w:color="64748B"/>
              <w:left w:val="single" w:sz="6" w:space="0" w:color="64748B"/>
              <w:bottom w:val="single" w:sz="6" w:space="0" w:color="64748B"/>
              <w:right w:val="single" w:sz="6" w:space="0" w:color="64748B"/>
            </w:tcBorders>
          </w:tcPr>
          <w:p>
            <w:pPr>
              <w:jc w:val="center"/>
            </w:pPr>
            <w:r/>
            <w:r>
              <w:rPr>
                <w:b/>
                <w:color w:val="FFFFFF"/>
                <w:sz w:val="17"/>
              </w:rPr>
              <w:t>Business responsibility</w:t>
            </w:r>
          </w:p>
        </w:tc>
        <w:tc>
          <w:tcPr>
            <w:tcW w:type="dxa" w:w="2851"/>
            <w:vAlign w:val="center"/>
            <w:shd w:fill="102440"/>
            <w:tcBorders>
              <w:top w:val="single" w:sz="6" w:space="0" w:color="64748B"/>
              <w:left w:val="single" w:sz="6" w:space="0" w:color="64748B"/>
              <w:bottom w:val="single" w:sz="6" w:space="0" w:color="64748B"/>
              <w:right w:val="single" w:sz="6" w:space="0" w:color="64748B"/>
            </w:tcBorders>
          </w:tcPr>
          <w:p>
            <w:pPr>
              <w:jc w:val="center"/>
            </w:pPr>
            <w:r/>
            <w:r>
              <w:rPr>
                <w:b/>
                <w:color w:val="FFFFFF"/>
                <w:sz w:val="17"/>
              </w:rPr>
              <w:t>Input</w:t>
            </w:r>
          </w:p>
        </w:tc>
        <w:tc>
          <w:tcPr>
            <w:tcW w:type="dxa" w:w="2851"/>
            <w:vAlign w:val="center"/>
            <w:shd w:fill="102440"/>
            <w:tcBorders>
              <w:top w:val="single" w:sz="6" w:space="0" w:color="64748B"/>
              <w:left w:val="single" w:sz="6" w:space="0" w:color="64748B"/>
              <w:bottom w:val="single" w:sz="6" w:space="0" w:color="64748B"/>
              <w:right w:val="single" w:sz="6" w:space="0" w:color="64748B"/>
            </w:tcBorders>
          </w:tcPr>
          <w:p>
            <w:pPr>
              <w:jc w:val="center"/>
            </w:pPr>
            <w:r/>
            <w:r>
              <w:rPr>
                <w:b/>
                <w:color w:val="FFFFFF"/>
                <w:sz w:val="17"/>
              </w:rPr>
              <w:t>Output</w:t>
            </w:r>
          </w:p>
        </w:tc>
      </w:tr>
      <w:tr>
        <w:tc>
          <w:tcPr>
            <w:tcW w:type="dxa" w:w="2851"/>
            <w:vAlign w:val="center"/>
            <w:shd w:fill="EAF2FB"/>
            <w:tcBorders>
              <w:top w:val="single" w:sz="6" w:space="0" w:color="CBD5E1"/>
              <w:left w:val="single" w:sz="6" w:space="0" w:color="CBD5E1"/>
              <w:bottom w:val="single" w:sz="6" w:space="0" w:color="CBD5E1"/>
              <w:right w:val="single" w:sz="6" w:space="0" w:color="CBD5E1"/>
            </w:tcBorders>
          </w:tcPr>
          <w:p>
            <w:pPr>
              <w:jc w:val="center"/>
            </w:pPr>
            <w:r/>
            <w:r>
              <w:rPr>
                <w:b/>
                <w:color w:val="102440"/>
                <w:sz w:val="16"/>
              </w:rPr>
              <w:t>1</w:t>
            </w:r>
          </w:p>
        </w:tc>
        <w:tc>
          <w:tcPr>
            <w:tcW w:type="dxa" w:w="2851"/>
            <w:vAlign w:val="center"/>
            <w:shd w:fill="EAF2FB"/>
            <w:tcBorders>
              <w:top w:val="single" w:sz="6" w:space="0" w:color="CBD5E1"/>
              <w:left w:val="single" w:sz="6" w:space="0" w:color="CBD5E1"/>
              <w:bottom w:val="single" w:sz="6" w:space="0" w:color="CBD5E1"/>
              <w:right w:val="single" w:sz="6" w:space="0" w:color="CBD5E1"/>
            </w:tcBorders>
          </w:tcPr>
          <w:p>
            <w:r/>
            <w:r>
              <w:rPr>
                <w:b/>
                <w:color w:val="102440"/>
                <w:sz w:val="16"/>
              </w:rPr>
              <w:t>Invoice ingest and understanding</w:t>
            </w:r>
          </w:p>
        </w:tc>
        <w:tc>
          <w:tcPr>
            <w:tcW w:type="dxa" w:w="2851"/>
            <w:vAlign w:val="center"/>
            <w:shd w:fill="FFFFFF"/>
            <w:tcBorders>
              <w:top w:val="single" w:sz="6" w:space="0" w:color="CBD5E1"/>
              <w:left w:val="single" w:sz="6" w:space="0" w:color="CBD5E1"/>
              <w:bottom w:val="single" w:sz="6" w:space="0" w:color="CBD5E1"/>
              <w:right w:val="single" w:sz="6" w:space="0" w:color="CBD5E1"/>
            </w:tcBorders>
          </w:tcPr>
          <w:p>
            <w:r/>
            <w:r>
              <w:rPr>
                <w:b w:val="0"/>
                <w:sz w:val="16"/>
              </w:rPr>
              <w:t>Reads the invoice PDF, classifies the document, extracts key fields, and maps values to the required schema.</w:t>
            </w:r>
          </w:p>
        </w:tc>
        <w:tc>
          <w:tcPr>
            <w:tcW w:type="dxa" w:w="2851"/>
            <w:vAlign w:val="center"/>
            <w:shd w:fill="FFFFFF"/>
            <w:tcBorders>
              <w:top w:val="single" w:sz="6" w:space="0" w:color="CBD5E1"/>
              <w:left w:val="single" w:sz="6" w:space="0" w:color="CBD5E1"/>
              <w:bottom w:val="single" w:sz="6" w:space="0" w:color="CBD5E1"/>
              <w:right w:val="single" w:sz="6" w:space="0" w:color="CBD5E1"/>
            </w:tcBorders>
          </w:tcPr>
          <w:p>
            <w:r/>
            <w:r>
              <w:rPr>
                <w:b w:val="0"/>
                <w:sz w:val="16"/>
              </w:rPr>
              <w:t>Email, portal, SFTP, ERP input</w:t>
            </w:r>
          </w:p>
        </w:tc>
        <w:tc>
          <w:tcPr>
            <w:tcW w:type="dxa" w:w="2851"/>
            <w:vAlign w:val="center"/>
            <w:shd w:fill="FFFFFF"/>
            <w:tcBorders>
              <w:top w:val="single" w:sz="6" w:space="0" w:color="CBD5E1"/>
              <w:left w:val="single" w:sz="6" w:space="0" w:color="CBD5E1"/>
              <w:bottom w:val="single" w:sz="6" w:space="0" w:color="CBD5E1"/>
              <w:right w:val="single" w:sz="6" w:space="0" w:color="CBD5E1"/>
            </w:tcBorders>
          </w:tcPr>
          <w:p>
            <w:r/>
            <w:r>
              <w:rPr>
                <w:b w:val="0"/>
                <w:sz w:val="16"/>
              </w:rPr>
              <w:t>Structured invoice data + original document stored</w:t>
            </w:r>
          </w:p>
        </w:tc>
      </w:tr>
      <w:tr>
        <w:tc>
          <w:tcPr>
            <w:tcW w:type="dxa" w:w="2851"/>
            <w:vAlign w:val="center"/>
            <w:shd w:fill="EEF7E8"/>
            <w:tcBorders>
              <w:top w:val="single" w:sz="6" w:space="0" w:color="CBD5E1"/>
              <w:left w:val="single" w:sz="6" w:space="0" w:color="CBD5E1"/>
              <w:bottom w:val="single" w:sz="6" w:space="0" w:color="CBD5E1"/>
              <w:right w:val="single" w:sz="6" w:space="0" w:color="CBD5E1"/>
            </w:tcBorders>
          </w:tcPr>
          <w:p>
            <w:pPr>
              <w:jc w:val="center"/>
            </w:pPr>
            <w:r/>
            <w:r>
              <w:rPr>
                <w:b/>
                <w:color w:val="102440"/>
                <w:sz w:val="16"/>
              </w:rPr>
              <w:t>2</w:t>
            </w:r>
          </w:p>
        </w:tc>
        <w:tc>
          <w:tcPr>
            <w:tcW w:type="dxa" w:w="2851"/>
            <w:vAlign w:val="center"/>
            <w:shd w:fill="EEF7E8"/>
            <w:tcBorders>
              <w:top w:val="single" w:sz="6" w:space="0" w:color="CBD5E1"/>
              <w:left w:val="single" w:sz="6" w:space="0" w:color="CBD5E1"/>
              <w:bottom w:val="single" w:sz="6" w:space="0" w:color="CBD5E1"/>
              <w:right w:val="single" w:sz="6" w:space="0" w:color="CBD5E1"/>
            </w:tcBorders>
          </w:tcPr>
          <w:p>
            <w:r/>
            <w:r>
              <w:rPr>
                <w:b/>
                <w:color w:val="102440"/>
                <w:sz w:val="16"/>
              </w:rPr>
              <w:t>Data validation and enrichment</w:t>
            </w:r>
          </w:p>
        </w:tc>
        <w:tc>
          <w:tcPr>
            <w:tcW w:type="dxa" w:w="2851"/>
            <w:vAlign w:val="center"/>
            <w:shd w:fill="FFFFFF"/>
            <w:tcBorders>
              <w:top w:val="single" w:sz="6" w:space="0" w:color="CBD5E1"/>
              <w:left w:val="single" w:sz="6" w:space="0" w:color="CBD5E1"/>
              <w:bottom w:val="single" w:sz="6" w:space="0" w:color="CBD5E1"/>
              <w:right w:val="single" w:sz="6" w:space="0" w:color="CBD5E1"/>
            </w:tcBorders>
          </w:tcPr>
          <w:p>
            <w:r/>
            <w:r>
              <w:rPr>
                <w:b w:val="0"/>
                <w:sz w:val="16"/>
              </w:rPr>
              <w:t>Checks extracted values against business rules, vendor master, purchase order / goods receipt / contract records, and normalises the data.</w:t>
            </w:r>
          </w:p>
        </w:tc>
        <w:tc>
          <w:tcPr>
            <w:tcW w:type="dxa" w:w="2851"/>
            <w:vAlign w:val="center"/>
            <w:shd w:fill="FFFFFF"/>
            <w:tcBorders>
              <w:top w:val="single" w:sz="6" w:space="0" w:color="CBD5E1"/>
              <w:left w:val="single" w:sz="6" w:space="0" w:color="CBD5E1"/>
              <w:bottom w:val="single" w:sz="6" w:space="0" w:color="CBD5E1"/>
              <w:right w:val="single" w:sz="6" w:space="0" w:color="CBD5E1"/>
            </w:tcBorders>
          </w:tcPr>
          <w:p>
            <w:r/>
            <w:r>
              <w:rPr>
                <w:b w:val="0"/>
                <w:sz w:val="16"/>
              </w:rPr>
              <w:t>Extracted invoice values</w:t>
            </w:r>
          </w:p>
        </w:tc>
        <w:tc>
          <w:tcPr>
            <w:tcW w:type="dxa" w:w="2851"/>
            <w:vAlign w:val="center"/>
            <w:shd w:fill="FFFFFF"/>
            <w:tcBorders>
              <w:top w:val="single" w:sz="6" w:space="0" w:color="CBD5E1"/>
              <w:left w:val="single" w:sz="6" w:space="0" w:color="CBD5E1"/>
              <w:bottom w:val="single" w:sz="6" w:space="0" w:color="CBD5E1"/>
              <w:right w:val="single" w:sz="6" w:space="0" w:color="CBD5E1"/>
            </w:tcBorders>
          </w:tcPr>
          <w:p>
            <w:r/>
            <w:r>
              <w:rPr>
                <w:b w:val="0"/>
                <w:sz w:val="16"/>
              </w:rPr>
              <w:t>Validated or exception-ready invoice package</w:t>
            </w:r>
          </w:p>
        </w:tc>
      </w:tr>
      <w:tr>
        <w:tc>
          <w:tcPr>
            <w:tcW w:type="dxa" w:w="2851"/>
            <w:vAlign w:val="center"/>
            <w:shd w:fill="FFF4DA"/>
            <w:tcBorders>
              <w:top w:val="single" w:sz="6" w:space="0" w:color="CBD5E1"/>
              <w:left w:val="single" w:sz="6" w:space="0" w:color="CBD5E1"/>
              <w:bottom w:val="single" w:sz="6" w:space="0" w:color="CBD5E1"/>
              <w:right w:val="single" w:sz="6" w:space="0" w:color="CBD5E1"/>
            </w:tcBorders>
          </w:tcPr>
          <w:p>
            <w:pPr>
              <w:jc w:val="center"/>
            </w:pPr>
            <w:r/>
            <w:r>
              <w:rPr>
                <w:b/>
                <w:color w:val="102440"/>
                <w:sz w:val="16"/>
              </w:rPr>
              <w:t>3</w:t>
            </w:r>
          </w:p>
        </w:tc>
        <w:tc>
          <w:tcPr>
            <w:tcW w:type="dxa" w:w="2851"/>
            <w:vAlign w:val="center"/>
            <w:shd w:fill="FFF4DA"/>
            <w:tcBorders>
              <w:top w:val="single" w:sz="6" w:space="0" w:color="CBD5E1"/>
              <w:left w:val="single" w:sz="6" w:space="0" w:color="CBD5E1"/>
              <w:bottom w:val="single" w:sz="6" w:space="0" w:color="CBD5E1"/>
              <w:right w:val="single" w:sz="6" w:space="0" w:color="CBD5E1"/>
            </w:tcBorders>
          </w:tcPr>
          <w:p>
            <w:r/>
            <w:r>
              <w:rPr>
                <w:b/>
                <w:color w:val="102440"/>
                <w:sz w:val="16"/>
              </w:rPr>
              <w:t>Four-eye review</w:t>
            </w:r>
          </w:p>
        </w:tc>
        <w:tc>
          <w:tcPr>
            <w:tcW w:type="dxa" w:w="2851"/>
            <w:vAlign w:val="center"/>
            <w:shd w:fill="FFFFFF"/>
            <w:tcBorders>
              <w:top w:val="single" w:sz="6" w:space="0" w:color="CBD5E1"/>
              <w:left w:val="single" w:sz="6" w:space="0" w:color="CBD5E1"/>
              <w:bottom w:val="single" w:sz="6" w:space="0" w:color="CBD5E1"/>
              <w:right w:val="single" w:sz="6" w:space="0" w:color="CBD5E1"/>
            </w:tcBorders>
          </w:tcPr>
          <w:p>
            <w:r/>
            <w:r>
              <w:rPr>
                <w:b w:val="0"/>
                <w:sz w:val="16"/>
              </w:rPr>
              <w:t>Routes cases requiring human review to a side-by-side workbench, captures comments, and records approval decisions.</w:t>
            </w:r>
          </w:p>
        </w:tc>
        <w:tc>
          <w:tcPr>
            <w:tcW w:type="dxa" w:w="2851"/>
            <w:vAlign w:val="center"/>
            <w:shd w:fill="FFFFFF"/>
            <w:tcBorders>
              <w:top w:val="single" w:sz="6" w:space="0" w:color="CBD5E1"/>
              <w:left w:val="single" w:sz="6" w:space="0" w:color="CBD5E1"/>
              <w:bottom w:val="single" w:sz="6" w:space="0" w:color="CBD5E1"/>
              <w:right w:val="single" w:sz="6" w:space="0" w:color="CBD5E1"/>
            </w:tcBorders>
          </w:tcPr>
          <w:p>
            <w:r/>
            <w:r>
              <w:rPr>
                <w:b w:val="0"/>
                <w:sz w:val="16"/>
              </w:rPr>
              <w:t>Validation outcome and invoice evidence</w:t>
            </w:r>
          </w:p>
        </w:tc>
        <w:tc>
          <w:tcPr>
            <w:tcW w:type="dxa" w:w="2851"/>
            <w:vAlign w:val="center"/>
            <w:shd w:fill="FFFFFF"/>
            <w:tcBorders>
              <w:top w:val="single" w:sz="6" w:space="0" w:color="CBD5E1"/>
              <w:left w:val="single" w:sz="6" w:space="0" w:color="CBD5E1"/>
              <w:bottom w:val="single" w:sz="6" w:space="0" w:color="CBD5E1"/>
              <w:right w:val="single" w:sz="6" w:space="0" w:color="CBD5E1"/>
            </w:tcBorders>
          </w:tcPr>
          <w:p>
            <w:r/>
            <w:r>
              <w:rPr>
                <w:b w:val="0"/>
                <w:sz w:val="16"/>
              </w:rPr>
              <w:t>Approved invoice or rejection / clarification</w:t>
            </w:r>
          </w:p>
        </w:tc>
      </w:tr>
      <w:tr>
        <w:tc>
          <w:tcPr>
            <w:tcW w:type="dxa" w:w="2851"/>
            <w:vAlign w:val="center"/>
            <w:shd w:fill="F1ECFA"/>
            <w:tcBorders>
              <w:top w:val="single" w:sz="6" w:space="0" w:color="CBD5E1"/>
              <w:left w:val="single" w:sz="6" w:space="0" w:color="CBD5E1"/>
              <w:bottom w:val="single" w:sz="6" w:space="0" w:color="CBD5E1"/>
              <w:right w:val="single" w:sz="6" w:space="0" w:color="CBD5E1"/>
            </w:tcBorders>
          </w:tcPr>
          <w:p>
            <w:pPr>
              <w:jc w:val="center"/>
            </w:pPr>
            <w:r/>
            <w:r>
              <w:rPr>
                <w:b/>
                <w:color w:val="102440"/>
                <w:sz w:val="16"/>
              </w:rPr>
              <w:t>4</w:t>
            </w:r>
          </w:p>
        </w:tc>
        <w:tc>
          <w:tcPr>
            <w:tcW w:type="dxa" w:w="2851"/>
            <w:vAlign w:val="center"/>
            <w:shd w:fill="F1ECFA"/>
            <w:tcBorders>
              <w:top w:val="single" w:sz="6" w:space="0" w:color="CBD5E1"/>
              <w:left w:val="single" w:sz="6" w:space="0" w:color="CBD5E1"/>
              <w:bottom w:val="single" w:sz="6" w:space="0" w:color="CBD5E1"/>
              <w:right w:val="single" w:sz="6" w:space="0" w:color="CBD5E1"/>
            </w:tcBorders>
          </w:tcPr>
          <w:p>
            <w:r/>
            <w:r>
              <w:rPr>
                <w:b/>
                <w:color w:val="102440"/>
                <w:sz w:val="16"/>
              </w:rPr>
              <w:t>Post and integration</w:t>
            </w:r>
          </w:p>
        </w:tc>
        <w:tc>
          <w:tcPr>
            <w:tcW w:type="dxa" w:w="2851"/>
            <w:vAlign w:val="center"/>
            <w:shd w:fill="FFFFFF"/>
            <w:tcBorders>
              <w:top w:val="single" w:sz="6" w:space="0" w:color="CBD5E1"/>
              <w:left w:val="single" w:sz="6" w:space="0" w:color="CBD5E1"/>
              <w:bottom w:val="single" w:sz="6" w:space="0" w:color="CBD5E1"/>
              <w:right w:val="single" w:sz="6" w:space="0" w:color="CBD5E1"/>
            </w:tcBorders>
          </w:tcPr>
          <w:p>
            <w:r/>
            <w:r>
              <w:rPr>
                <w:b w:val="0"/>
                <w:sz w:val="16"/>
              </w:rPr>
              <w:t>Builds the payload and posts approved invoice values to Geneva through an API. Retries and error handling are tracked.</w:t>
            </w:r>
          </w:p>
        </w:tc>
        <w:tc>
          <w:tcPr>
            <w:tcW w:type="dxa" w:w="2851"/>
            <w:vAlign w:val="center"/>
            <w:shd w:fill="FFFFFF"/>
            <w:tcBorders>
              <w:top w:val="single" w:sz="6" w:space="0" w:color="CBD5E1"/>
              <w:left w:val="single" w:sz="6" w:space="0" w:color="CBD5E1"/>
              <w:bottom w:val="single" w:sz="6" w:space="0" w:color="CBD5E1"/>
              <w:right w:val="single" w:sz="6" w:space="0" w:color="CBD5E1"/>
            </w:tcBorders>
          </w:tcPr>
          <w:p>
            <w:r/>
            <w:r>
              <w:rPr>
                <w:b w:val="0"/>
                <w:sz w:val="16"/>
              </w:rPr>
              <w:t>Approved invoice package</w:t>
            </w:r>
          </w:p>
        </w:tc>
        <w:tc>
          <w:tcPr>
            <w:tcW w:type="dxa" w:w="2851"/>
            <w:vAlign w:val="center"/>
            <w:shd w:fill="FFFFFF"/>
            <w:tcBorders>
              <w:top w:val="single" w:sz="6" w:space="0" w:color="CBD5E1"/>
              <w:left w:val="single" w:sz="6" w:space="0" w:color="CBD5E1"/>
              <w:bottom w:val="single" w:sz="6" w:space="0" w:color="CBD5E1"/>
              <w:right w:val="single" w:sz="6" w:space="0" w:color="CBD5E1"/>
            </w:tcBorders>
          </w:tcPr>
          <w:p>
            <w:r/>
            <w:r>
              <w:rPr>
                <w:b w:val="0"/>
                <w:sz w:val="16"/>
              </w:rPr>
              <w:t>Geneva posting result and response evidence</w:t>
            </w:r>
          </w:p>
        </w:tc>
      </w:tr>
      <w:tr>
        <w:tc>
          <w:tcPr>
            <w:tcW w:type="dxa" w:w="2851"/>
            <w:vAlign w:val="center"/>
            <w:shd w:fill="E8F7F8"/>
            <w:tcBorders>
              <w:top w:val="single" w:sz="6" w:space="0" w:color="CBD5E1"/>
              <w:left w:val="single" w:sz="6" w:space="0" w:color="CBD5E1"/>
              <w:bottom w:val="single" w:sz="6" w:space="0" w:color="CBD5E1"/>
              <w:right w:val="single" w:sz="6" w:space="0" w:color="CBD5E1"/>
            </w:tcBorders>
          </w:tcPr>
          <w:p>
            <w:pPr>
              <w:jc w:val="center"/>
            </w:pPr>
            <w:r/>
            <w:r>
              <w:rPr>
                <w:b/>
                <w:color w:val="102440"/>
                <w:sz w:val="16"/>
              </w:rPr>
              <w:t>5</w:t>
            </w:r>
          </w:p>
        </w:tc>
        <w:tc>
          <w:tcPr>
            <w:tcW w:type="dxa" w:w="2851"/>
            <w:vAlign w:val="center"/>
            <w:shd w:fill="E8F7F8"/>
            <w:tcBorders>
              <w:top w:val="single" w:sz="6" w:space="0" w:color="CBD5E1"/>
              <w:left w:val="single" w:sz="6" w:space="0" w:color="CBD5E1"/>
              <w:bottom w:val="single" w:sz="6" w:space="0" w:color="CBD5E1"/>
              <w:right w:val="single" w:sz="6" w:space="0" w:color="CBD5E1"/>
            </w:tcBorders>
          </w:tcPr>
          <w:p>
            <w:r/>
            <w:r>
              <w:rPr>
                <w:b/>
                <w:color w:val="102440"/>
                <w:sz w:val="16"/>
              </w:rPr>
              <w:t>Control pack and notification</w:t>
            </w:r>
          </w:p>
        </w:tc>
        <w:tc>
          <w:tcPr>
            <w:tcW w:type="dxa" w:w="2851"/>
            <w:vAlign w:val="center"/>
            <w:shd w:fill="FFFFFF"/>
            <w:tcBorders>
              <w:top w:val="single" w:sz="6" w:space="0" w:color="CBD5E1"/>
              <w:left w:val="single" w:sz="6" w:space="0" w:color="CBD5E1"/>
              <w:bottom w:val="single" w:sz="6" w:space="0" w:color="CBD5E1"/>
              <w:right w:val="single" w:sz="6" w:space="0" w:color="CBD5E1"/>
            </w:tcBorders>
          </w:tcPr>
          <w:p>
            <w:r/>
            <w:r>
              <w:rPr>
                <w:b w:val="0"/>
                <w:sz w:val="16"/>
              </w:rPr>
              <w:t>Creates the NAV control pack, stores the evidence, and sends a success or failure response to the client.</w:t>
            </w:r>
          </w:p>
        </w:tc>
        <w:tc>
          <w:tcPr>
            <w:tcW w:type="dxa" w:w="2851"/>
            <w:vAlign w:val="center"/>
            <w:shd w:fill="FFFFFF"/>
            <w:tcBorders>
              <w:top w:val="single" w:sz="6" w:space="0" w:color="CBD5E1"/>
              <w:left w:val="single" w:sz="6" w:space="0" w:color="CBD5E1"/>
              <w:bottom w:val="single" w:sz="6" w:space="0" w:color="CBD5E1"/>
              <w:right w:val="single" w:sz="6" w:space="0" w:color="CBD5E1"/>
            </w:tcBorders>
          </w:tcPr>
          <w:p>
            <w:r/>
            <w:r>
              <w:rPr>
                <w:b w:val="0"/>
                <w:sz w:val="16"/>
              </w:rPr>
              <w:t>Posting result and audit trail</w:t>
            </w:r>
          </w:p>
        </w:tc>
        <w:tc>
          <w:tcPr>
            <w:tcW w:type="dxa" w:w="2851"/>
            <w:vAlign w:val="center"/>
            <w:shd w:fill="FFFFFF"/>
            <w:tcBorders>
              <w:top w:val="single" w:sz="6" w:space="0" w:color="CBD5E1"/>
              <w:left w:val="single" w:sz="6" w:space="0" w:color="CBD5E1"/>
              <w:bottom w:val="single" w:sz="6" w:space="0" w:color="CBD5E1"/>
              <w:right w:val="single" w:sz="6" w:space="0" w:color="CBD5E1"/>
            </w:tcBorders>
          </w:tcPr>
          <w:p>
            <w:r/>
            <w:r>
              <w:rPr>
                <w:b w:val="0"/>
                <w:sz w:val="16"/>
              </w:rPr>
              <w:t>Client confirmation and final processing status</w:t>
            </w:r>
          </w:p>
        </w:tc>
      </w:tr>
    </w:tbl>
    <w:p>
      <w:pPr>
        <w:pStyle w:val="Heading2"/>
      </w:pPr>
      <w:r>
        <w:rPr>
          <w:color w:val="22539B"/>
          <w:sz w:val="26"/>
        </w:rPr>
        <w:t>Operating principle</w:t>
      </w:r>
    </w:p>
    <w:p>
      <w:pPr>
        <w:spacing w:after="120" w:line="259" w:lineRule="auto"/>
      </w:pPr>
      <w:r>
        <w:rPr>
          <w:b w:val="0"/>
          <w:i w:val="0"/>
          <w:sz w:val="20"/>
        </w:rPr>
        <w:t>Automation is not a replacement for business control. The design automates repeatable preparation, validation, evidence capture, and communication steps while preserving human review at approval and exception points.</w:t>
      </w:r>
    </w:p>
    <w:p>
      <w:r>
        <w:br w:type="page"/>
      </w:r>
    </w:p>
    <w:p>
      <w:pPr>
        <w:pStyle w:val="Heading1"/>
      </w:pPr>
      <w:r>
        <w:rPr>
          <w:color w:val="102440"/>
          <w:sz w:val="36"/>
        </w:rPr>
        <w:t>3. Controls, Governance and Exception Handling</w:t>
      </w:r>
    </w:p>
    <w:p>
      <w:pPr>
        <w:spacing w:after="120" w:line="259" w:lineRule="auto"/>
      </w:pPr>
      <w:r>
        <w:rPr>
          <w:b w:val="0"/>
          <w:i w:val="0"/>
          <w:sz w:val="21"/>
        </w:rPr>
        <w:t>The model is designed to be auditable from intake to client response. Every major decision, data change, approval, posting attempt, and notification can be logged and linked back to the original invoice.</w:t>
      </w:r>
    </w:p>
    <w:tbl>
      <w:tblPr>
        <w:tblW w:type="auto" w:w="0"/>
        <w:jc w:val="center"/>
        <w:tblLook w:firstColumn="1" w:firstRow="1" w:lastColumn="0" w:lastRow="0" w:noHBand="0" w:noVBand="1" w:val="04A0"/>
      </w:tblPr>
      <w:tblGrid>
        <w:gridCol w:w="7128"/>
        <w:gridCol w:w="7128"/>
      </w:tblGrid>
      <w:tr>
        <w:tc>
          <w:tcPr>
            <w:tcW w:type="dxa" w:w="7128"/>
            <w:vAlign w:val="center"/>
            <w:shd w:fill="102440"/>
            <w:tcBorders>
              <w:top w:val="single" w:sz="6" w:space="0" w:color="64748B"/>
              <w:left w:val="single" w:sz="6" w:space="0" w:color="64748B"/>
              <w:bottom w:val="single" w:sz="6" w:space="0" w:color="64748B"/>
              <w:right w:val="single" w:sz="6" w:space="0" w:color="64748B"/>
            </w:tcBorders>
          </w:tcPr>
          <w:p>
            <w:r/>
            <w:r>
              <w:rPr>
                <w:b/>
                <w:color w:val="FFFFFF"/>
                <w:sz w:val="18"/>
              </w:rPr>
              <w:t>Control area</w:t>
            </w:r>
          </w:p>
        </w:tc>
        <w:tc>
          <w:tcPr>
            <w:tcW w:type="dxa" w:w="7128"/>
            <w:vAlign w:val="center"/>
            <w:shd w:fill="102440"/>
            <w:tcBorders>
              <w:top w:val="single" w:sz="6" w:space="0" w:color="64748B"/>
              <w:left w:val="single" w:sz="6" w:space="0" w:color="64748B"/>
              <w:bottom w:val="single" w:sz="6" w:space="0" w:color="64748B"/>
              <w:right w:val="single" w:sz="6" w:space="0" w:color="64748B"/>
            </w:tcBorders>
          </w:tcPr>
          <w:p>
            <w:r/>
            <w:r>
              <w:rPr>
                <w:b/>
                <w:color w:val="FFFFFF"/>
                <w:sz w:val="18"/>
              </w:rPr>
              <w:t>What business users can expect</w:t>
            </w:r>
          </w:p>
        </w:tc>
      </w:tr>
      <w:tr>
        <w:tc>
          <w:tcPr>
            <w:tcW w:type="dxa" w:w="7128"/>
            <w:vAlign w:val="center"/>
            <w:shd w:fill="EAF2FB"/>
            <w:tcBorders>
              <w:top w:val="single" w:sz="6" w:space="0" w:color="CBD5E1"/>
              <w:left w:val="single" w:sz="6" w:space="0" w:color="CBD5E1"/>
              <w:bottom w:val="single" w:sz="6" w:space="0" w:color="CBD5E1"/>
              <w:right w:val="single" w:sz="6" w:space="0" w:color="CBD5E1"/>
            </w:tcBorders>
          </w:tcPr>
          <w:p>
            <w:r/>
            <w:r>
              <w:rPr>
                <w:b/>
                <w:color w:val="102440"/>
                <w:sz w:val="17"/>
              </w:rPr>
              <w:t>Four-eye review</w:t>
            </w:r>
          </w:p>
        </w:tc>
        <w:tc>
          <w:tcPr>
            <w:tcW w:type="dxa" w:w="7128"/>
            <w:vAlign w:val="center"/>
            <w:shd w:fill="FFFFFF"/>
            <w:tcBorders>
              <w:top w:val="single" w:sz="6" w:space="0" w:color="CBD5E1"/>
              <w:left w:val="single" w:sz="6" w:space="0" w:color="CBD5E1"/>
              <w:bottom w:val="single" w:sz="6" w:space="0" w:color="CBD5E1"/>
              <w:right w:val="single" w:sz="6" w:space="0" w:color="CBD5E1"/>
            </w:tcBorders>
          </w:tcPr>
          <w:p>
            <w:r/>
            <w:r>
              <w:rPr>
                <w:b w:val="0"/>
                <w:sz w:val="17"/>
              </w:rPr>
              <w:t>Invoices that require approval, correction, judgement, or policy review are presented to human reviewers before posting.</w:t>
            </w:r>
          </w:p>
        </w:tc>
      </w:tr>
      <w:tr>
        <w:tc>
          <w:tcPr>
            <w:tcW w:type="dxa" w:w="7128"/>
            <w:vAlign w:val="center"/>
            <w:shd w:fill="EAF2FB"/>
            <w:tcBorders>
              <w:top w:val="single" w:sz="6" w:space="0" w:color="CBD5E1"/>
              <w:left w:val="single" w:sz="6" w:space="0" w:color="CBD5E1"/>
              <w:bottom w:val="single" w:sz="6" w:space="0" w:color="CBD5E1"/>
              <w:right w:val="single" w:sz="6" w:space="0" w:color="CBD5E1"/>
            </w:tcBorders>
          </w:tcPr>
          <w:p>
            <w:r/>
            <w:r>
              <w:rPr>
                <w:b/>
                <w:color w:val="102440"/>
                <w:sz w:val="17"/>
              </w:rPr>
              <w:t>Exception queue</w:t>
            </w:r>
          </w:p>
        </w:tc>
        <w:tc>
          <w:tcPr>
            <w:tcW w:type="dxa" w:w="7128"/>
            <w:vAlign w:val="center"/>
            <w:shd w:fill="FFFFFF"/>
            <w:tcBorders>
              <w:top w:val="single" w:sz="6" w:space="0" w:color="CBD5E1"/>
              <w:left w:val="single" w:sz="6" w:space="0" w:color="CBD5E1"/>
              <w:bottom w:val="single" w:sz="6" w:space="0" w:color="CBD5E1"/>
              <w:right w:val="single" w:sz="6" w:space="0" w:color="CBD5E1"/>
            </w:tcBorders>
          </w:tcPr>
          <w:p>
            <w:r/>
            <w:r>
              <w:rPr>
                <w:b w:val="0"/>
                <w:sz w:val="17"/>
              </w:rPr>
              <w:t>Items that fail validation or integration are clearly marked as needing attention, with reasons and next actions.</w:t>
            </w:r>
          </w:p>
        </w:tc>
      </w:tr>
      <w:tr>
        <w:tc>
          <w:tcPr>
            <w:tcW w:type="dxa" w:w="7128"/>
            <w:vAlign w:val="center"/>
            <w:shd w:fill="EAF2FB"/>
            <w:tcBorders>
              <w:top w:val="single" w:sz="6" w:space="0" w:color="CBD5E1"/>
              <w:left w:val="single" w:sz="6" w:space="0" w:color="CBD5E1"/>
              <w:bottom w:val="single" w:sz="6" w:space="0" w:color="CBD5E1"/>
              <w:right w:val="single" w:sz="6" w:space="0" w:color="CBD5E1"/>
            </w:tcBorders>
          </w:tcPr>
          <w:p>
            <w:r/>
            <w:r>
              <w:rPr>
                <w:b/>
                <w:color w:val="102440"/>
                <w:sz w:val="17"/>
              </w:rPr>
              <w:t>Audit trail</w:t>
            </w:r>
          </w:p>
        </w:tc>
        <w:tc>
          <w:tcPr>
            <w:tcW w:type="dxa" w:w="7128"/>
            <w:vAlign w:val="center"/>
            <w:shd w:fill="FFFFFF"/>
            <w:tcBorders>
              <w:top w:val="single" w:sz="6" w:space="0" w:color="CBD5E1"/>
              <w:left w:val="single" w:sz="6" w:space="0" w:color="CBD5E1"/>
              <w:bottom w:val="single" w:sz="6" w:space="0" w:color="CBD5E1"/>
              <w:right w:val="single" w:sz="6" w:space="0" w:color="CBD5E1"/>
            </w:tcBorders>
          </w:tcPr>
          <w:p>
            <w:r/>
            <w:r>
              <w:rPr>
                <w:b w:val="0"/>
                <w:sz w:val="17"/>
              </w:rPr>
              <w:t>The system records who or what performed each action, when it happened, and what values were used.</w:t>
            </w:r>
          </w:p>
        </w:tc>
      </w:tr>
      <w:tr>
        <w:tc>
          <w:tcPr>
            <w:tcW w:type="dxa" w:w="7128"/>
            <w:vAlign w:val="center"/>
            <w:shd w:fill="EAF2FB"/>
            <w:tcBorders>
              <w:top w:val="single" w:sz="6" w:space="0" w:color="CBD5E1"/>
              <w:left w:val="single" w:sz="6" w:space="0" w:color="CBD5E1"/>
              <w:bottom w:val="single" w:sz="6" w:space="0" w:color="CBD5E1"/>
              <w:right w:val="single" w:sz="6" w:space="0" w:color="CBD5E1"/>
            </w:tcBorders>
          </w:tcPr>
          <w:p>
            <w:r/>
            <w:r>
              <w:rPr>
                <w:b/>
                <w:color w:val="102440"/>
                <w:sz w:val="17"/>
              </w:rPr>
              <w:t>Compliance and retention</w:t>
            </w:r>
          </w:p>
        </w:tc>
        <w:tc>
          <w:tcPr>
            <w:tcW w:type="dxa" w:w="7128"/>
            <w:vAlign w:val="center"/>
            <w:shd w:fill="FFFFFF"/>
            <w:tcBorders>
              <w:top w:val="single" w:sz="6" w:space="0" w:color="CBD5E1"/>
              <w:left w:val="single" w:sz="6" w:space="0" w:color="CBD5E1"/>
              <w:bottom w:val="single" w:sz="6" w:space="0" w:color="CBD5E1"/>
              <w:right w:val="single" w:sz="6" w:space="0" w:color="CBD5E1"/>
            </w:tcBorders>
          </w:tcPr>
          <w:p>
            <w:r/>
            <w:r>
              <w:rPr>
                <w:b w:val="0"/>
                <w:sz w:val="17"/>
              </w:rPr>
              <w:t>Original PDFs, extracted data, audit logs, and control packs can be retained according to policy.</w:t>
            </w:r>
          </w:p>
        </w:tc>
      </w:tr>
      <w:tr>
        <w:tc>
          <w:tcPr>
            <w:tcW w:type="dxa" w:w="7128"/>
            <w:vAlign w:val="center"/>
            <w:shd w:fill="EAF2FB"/>
            <w:tcBorders>
              <w:top w:val="single" w:sz="6" w:space="0" w:color="CBD5E1"/>
              <w:left w:val="single" w:sz="6" w:space="0" w:color="CBD5E1"/>
              <w:bottom w:val="single" w:sz="6" w:space="0" w:color="CBD5E1"/>
              <w:right w:val="single" w:sz="6" w:space="0" w:color="CBD5E1"/>
            </w:tcBorders>
          </w:tcPr>
          <w:p>
            <w:r/>
            <w:r>
              <w:rPr>
                <w:b/>
                <w:color w:val="102440"/>
                <w:sz w:val="17"/>
              </w:rPr>
              <w:t>Monitoring and KPIs</w:t>
            </w:r>
          </w:p>
        </w:tc>
        <w:tc>
          <w:tcPr>
            <w:tcW w:type="dxa" w:w="7128"/>
            <w:vAlign w:val="center"/>
            <w:shd w:fill="FFFFFF"/>
            <w:tcBorders>
              <w:top w:val="single" w:sz="6" w:space="0" w:color="CBD5E1"/>
              <w:left w:val="single" w:sz="6" w:space="0" w:color="CBD5E1"/>
              <w:bottom w:val="single" w:sz="6" w:space="0" w:color="CBD5E1"/>
              <w:right w:val="single" w:sz="6" w:space="0" w:color="CBD5E1"/>
            </w:tcBorders>
          </w:tcPr>
          <w:p>
            <w:r/>
            <w:r>
              <w:rPr>
                <w:b w:val="0"/>
                <w:sz w:val="17"/>
              </w:rPr>
              <w:t>Dashboards can show throughput, turnaround time, accuracy, exception rate, and processing status.</w:t>
            </w:r>
          </w:p>
        </w:tc>
      </w:tr>
      <w:tr>
        <w:tc>
          <w:tcPr>
            <w:tcW w:type="dxa" w:w="7128"/>
            <w:vAlign w:val="center"/>
            <w:shd w:fill="EAF2FB"/>
            <w:tcBorders>
              <w:top w:val="single" w:sz="6" w:space="0" w:color="CBD5E1"/>
              <w:left w:val="single" w:sz="6" w:space="0" w:color="CBD5E1"/>
              <w:bottom w:val="single" w:sz="6" w:space="0" w:color="CBD5E1"/>
              <w:right w:val="single" w:sz="6" w:space="0" w:color="CBD5E1"/>
            </w:tcBorders>
          </w:tcPr>
          <w:p>
            <w:r/>
            <w:r>
              <w:rPr>
                <w:b/>
                <w:color w:val="102440"/>
                <w:sz w:val="17"/>
              </w:rPr>
              <w:t>Alerts and notifications</w:t>
            </w:r>
          </w:p>
        </w:tc>
        <w:tc>
          <w:tcPr>
            <w:tcW w:type="dxa" w:w="7128"/>
            <w:vAlign w:val="center"/>
            <w:shd w:fill="FFFFFF"/>
            <w:tcBorders>
              <w:top w:val="single" w:sz="6" w:space="0" w:color="CBD5E1"/>
              <w:left w:val="single" w:sz="6" w:space="0" w:color="CBD5E1"/>
              <w:bottom w:val="single" w:sz="6" w:space="0" w:color="CBD5E1"/>
              <w:right w:val="single" w:sz="6" w:space="0" w:color="CBD5E1"/>
            </w:tcBorders>
          </w:tcPr>
          <w:p>
            <w:r/>
            <w:r>
              <w:rPr>
                <w:b w:val="0"/>
                <w:sz w:val="17"/>
              </w:rPr>
              <w:t>Operational teams can be notified through email or collaboration tools when action is required.</w:t>
            </w:r>
          </w:p>
        </w:tc>
      </w:tr>
    </w:tbl>
    <w:p>
      <w:pPr>
        <w:pStyle w:val="Heading2"/>
      </w:pPr>
      <w:r>
        <w:rPr>
          <w:color w:val="22539B"/>
          <w:sz w:val="26"/>
        </w:rPr>
        <w:t>Exception outcomes</w:t>
      </w:r>
    </w:p>
    <w:p>
      <w:pPr>
        <w:pStyle w:val="ListBullet"/>
        <w:spacing w:after="60"/>
      </w:pPr>
      <w:r>
        <w:rPr>
          <w:sz w:val="19"/>
        </w:rPr>
        <w:t>Success: values are posted to Geneva, the NAV control pack is generated, and the client receives payment confirmation.</w:t>
      </w:r>
    </w:p>
    <w:p>
      <w:pPr>
        <w:pStyle w:val="ListBullet"/>
        <w:spacing w:after="60"/>
      </w:pPr>
      <w:r>
        <w:rPr>
          <w:sz w:val="19"/>
        </w:rPr>
        <w:t>Failure: the invoice is not posted, the reason is captured, and the client or operations team receives the required action message.</w:t>
      </w:r>
    </w:p>
    <w:p>
      <w:pPr>
        <w:pStyle w:val="ListBullet"/>
        <w:spacing w:after="60"/>
      </w:pPr>
      <w:r>
        <w:rPr>
          <w:sz w:val="19"/>
        </w:rPr>
        <w:t>Needs review: the invoice is held in a workbench until an authorised person approves, rejects, or requests clarification.</w:t>
      </w:r>
    </w:p>
    <w:p>
      <w:r>
        <w:br w:type="page"/>
      </w:r>
    </w:p>
    <w:p>
      <w:pPr>
        <w:pStyle w:val="Heading1"/>
      </w:pPr>
      <w:r>
        <w:rPr>
          <w:color w:val="102440"/>
          <w:sz w:val="36"/>
        </w:rPr>
        <w:t>4. Data and Integration View</w:t>
      </w:r>
    </w:p>
    <w:p>
      <w:pPr>
        <w:spacing w:after="120" w:line="259" w:lineRule="auto"/>
      </w:pPr>
      <w:r>
        <w:rPr>
          <w:b w:val="0"/>
          <w:i w:val="0"/>
          <w:sz w:val="21"/>
        </w:rPr>
        <w:t>The architecture separates business workflow from the data and memory layer so the organisation can trace every invoice and every decision. This creates a single evidence chain for operations, technology, risk, and audit teams.</w:t>
      </w:r>
    </w:p>
    <w:tbl>
      <w:tblPr>
        <w:tblW w:type="auto" w:w="0"/>
        <w:jc w:val="center"/>
        <w:tblLook w:firstColumn="1" w:firstRow="1" w:lastColumn="0" w:lastRow="0" w:noHBand="0" w:noVBand="1" w:val="04A0"/>
      </w:tblPr>
      <w:tblGrid>
        <w:gridCol w:w="3564"/>
        <w:gridCol w:w="3564"/>
        <w:gridCol w:w="3564"/>
        <w:gridCol w:w="3564"/>
      </w:tblGrid>
      <w:tr>
        <w:tc>
          <w:tcPr>
            <w:tcW w:type="dxa" w:w="3564"/>
            <w:vAlign w:val="center"/>
            <w:shd w:fill="102440"/>
            <w:tcBorders>
              <w:top w:val="single" w:sz="6" w:space="0" w:color="64748B"/>
              <w:left w:val="single" w:sz="6" w:space="0" w:color="64748B"/>
              <w:bottom w:val="single" w:sz="6" w:space="0" w:color="64748B"/>
              <w:right w:val="single" w:sz="6" w:space="0" w:color="64748B"/>
            </w:tcBorders>
          </w:tcPr>
          <w:p>
            <w:r/>
            <w:r>
              <w:rPr>
                <w:b/>
                <w:color w:val="FFFFFF"/>
                <w:sz w:val="17"/>
              </w:rPr>
              <w:t>Component</w:t>
            </w:r>
          </w:p>
        </w:tc>
        <w:tc>
          <w:tcPr>
            <w:tcW w:type="dxa" w:w="3564"/>
            <w:vAlign w:val="center"/>
            <w:shd w:fill="102440"/>
            <w:tcBorders>
              <w:top w:val="single" w:sz="6" w:space="0" w:color="64748B"/>
              <w:left w:val="single" w:sz="6" w:space="0" w:color="64748B"/>
              <w:bottom w:val="single" w:sz="6" w:space="0" w:color="64748B"/>
              <w:right w:val="single" w:sz="6" w:space="0" w:color="64748B"/>
            </w:tcBorders>
          </w:tcPr>
          <w:p>
            <w:r/>
            <w:r>
              <w:rPr>
                <w:b/>
                <w:color w:val="FFFFFF"/>
                <w:sz w:val="17"/>
              </w:rPr>
              <w:t>Role</w:t>
            </w:r>
          </w:p>
        </w:tc>
        <w:tc>
          <w:tcPr>
            <w:tcW w:type="dxa" w:w="3564"/>
            <w:vAlign w:val="center"/>
            <w:shd w:fill="102440"/>
            <w:tcBorders>
              <w:top w:val="single" w:sz="6" w:space="0" w:color="64748B"/>
              <w:left w:val="single" w:sz="6" w:space="0" w:color="64748B"/>
              <w:bottom w:val="single" w:sz="6" w:space="0" w:color="64748B"/>
              <w:right w:val="single" w:sz="6" w:space="0" w:color="64748B"/>
            </w:tcBorders>
          </w:tcPr>
          <w:p>
            <w:r/>
            <w:r>
              <w:rPr>
                <w:b/>
                <w:color w:val="FFFFFF"/>
                <w:sz w:val="17"/>
              </w:rPr>
              <w:t>Component</w:t>
            </w:r>
          </w:p>
        </w:tc>
        <w:tc>
          <w:tcPr>
            <w:tcW w:type="dxa" w:w="3564"/>
            <w:vAlign w:val="center"/>
            <w:shd w:fill="102440"/>
            <w:tcBorders>
              <w:top w:val="single" w:sz="6" w:space="0" w:color="64748B"/>
              <w:left w:val="single" w:sz="6" w:space="0" w:color="64748B"/>
              <w:bottom w:val="single" w:sz="6" w:space="0" w:color="64748B"/>
              <w:right w:val="single" w:sz="6" w:space="0" w:color="64748B"/>
            </w:tcBorders>
          </w:tcPr>
          <w:p>
            <w:r/>
            <w:r>
              <w:rPr>
                <w:b/>
                <w:color w:val="FFFFFF"/>
                <w:sz w:val="17"/>
              </w:rPr>
              <w:t>Role</w:t>
            </w:r>
          </w:p>
        </w:tc>
      </w:tr>
      <w:tr>
        <w:tc>
          <w:tcPr>
            <w:tcW w:type="dxa" w:w="3564"/>
            <w:vAlign w:val="center"/>
            <w:shd w:fill="EAF2FB"/>
            <w:tcBorders>
              <w:top w:val="single" w:sz="6" w:space="0" w:color="CBD5E1"/>
              <w:left w:val="single" w:sz="6" w:space="0" w:color="CBD5E1"/>
              <w:bottom w:val="single" w:sz="6" w:space="0" w:color="CBD5E1"/>
              <w:right w:val="single" w:sz="6" w:space="0" w:color="CBD5E1"/>
            </w:tcBorders>
          </w:tcPr>
          <w:p>
            <w:r/>
            <w:r>
              <w:rPr>
                <w:b/>
                <w:color w:val="102440"/>
                <w:sz w:val="16"/>
              </w:rPr>
              <w:t>Document store</w:t>
            </w:r>
          </w:p>
        </w:tc>
        <w:tc>
          <w:tcPr>
            <w:tcW w:type="dxa" w:w="3564"/>
            <w:vAlign w:val="center"/>
            <w:shd w:fill="FFFFFF"/>
            <w:tcBorders>
              <w:top w:val="single" w:sz="6" w:space="0" w:color="CBD5E1"/>
              <w:left w:val="single" w:sz="6" w:space="0" w:color="CBD5E1"/>
              <w:bottom w:val="single" w:sz="6" w:space="0" w:color="CBD5E1"/>
              <w:right w:val="single" w:sz="6" w:space="0" w:color="CBD5E1"/>
            </w:tcBorders>
          </w:tcPr>
          <w:p>
            <w:r/>
            <w:r>
              <w:rPr>
                <w:b w:val="0"/>
                <w:sz w:val="16"/>
              </w:rPr>
              <w:t>Keeps the original invoice PDFs and supporting documents.</w:t>
            </w:r>
          </w:p>
        </w:tc>
        <w:tc>
          <w:tcPr>
            <w:tcW w:type="dxa" w:w="3564"/>
            <w:vAlign w:val="center"/>
            <w:shd w:fill="EAF2FB"/>
            <w:tcBorders>
              <w:top w:val="single" w:sz="6" w:space="0" w:color="CBD5E1"/>
              <w:left w:val="single" w:sz="6" w:space="0" w:color="CBD5E1"/>
              <w:bottom w:val="single" w:sz="6" w:space="0" w:color="CBD5E1"/>
              <w:right w:val="single" w:sz="6" w:space="0" w:color="CBD5E1"/>
            </w:tcBorders>
          </w:tcPr>
          <w:p>
            <w:r/>
            <w:r>
              <w:rPr>
                <w:b/>
                <w:color w:val="102440"/>
                <w:sz w:val="16"/>
              </w:rPr>
              <w:t>Extracted data store</w:t>
            </w:r>
          </w:p>
        </w:tc>
        <w:tc>
          <w:tcPr>
            <w:tcW w:type="dxa" w:w="3564"/>
            <w:vAlign w:val="center"/>
            <w:shd w:fill="FFFFFF"/>
            <w:tcBorders>
              <w:top w:val="single" w:sz="6" w:space="0" w:color="CBD5E1"/>
              <w:left w:val="single" w:sz="6" w:space="0" w:color="CBD5E1"/>
              <w:bottom w:val="single" w:sz="6" w:space="0" w:color="CBD5E1"/>
              <w:right w:val="single" w:sz="6" w:space="0" w:color="CBD5E1"/>
            </w:tcBorders>
          </w:tcPr>
          <w:p>
            <w:r/>
            <w:r>
              <w:rPr>
                <w:b w:val="0"/>
                <w:sz w:val="16"/>
              </w:rPr>
              <w:t>Stores structured invoice values produced by the AI extraction step.</w:t>
            </w:r>
          </w:p>
        </w:tc>
      </w:tr>
      <w:tr>
        <w:tc>
          <w:tcPr>
            <w:tcW w:type="dxa" w:w="3564"/>
            <w:vAlign w:val="center"/>
            <w:shd w:fill="EAF2FB"/>
            <w:tcBorders>
              <w:top w:val="single" w:sz="6" w:space="0" w:color="CBD5E1"/>
              <w:left w:val="single" w:sz="6" w:space="0" w:color="CBD5E1"/>
              <w:bottom w:val="single" w:sz="6" w:space="0" w:color="CBD5E1"/>
              <w:right w:val="single" w:sz="6" w:space="0" w:color="CBD5E1"/>
            </w:tcBorders>
          </w:tcPr>
          <w:p>
            <w:r/>
            <w:r>
              <w:rPr>
                <w:b/>
                <w:color w:val="102440"/>
                <w:sz w:val="16"/>
              </w:rPr>
              <w:t>Audit and activity log</w:t>
            </w:r>
          </w:p>
        </w:tc>
        <w:tc>
          <w:tcPr>
            <w:tcW w:type="dxa" w:w="3564"/>
            <w:vAlign w:val="center"/>
            <w:shd w:fill="FFFFFF"/>
            <w:tcBorders>
              <w:top w:val="single" w:sz="6" w:space="0" w:color="CBD5E1"/>
              <w:left w:val="single" w:sz="6" w:space="0" w:color="CBD5E1"/>
              <w:bottom w:val="single" w:sz="6" w:space="0" w:color="CBD5E1"/>
              <w:right w:val="single" w:sz="6" w:space="0" w:color="CBD5E1"/>
            </w:tcBorders>
          </w:tcPr>
          <w:p>
            <w:r/>
            <w:r>
              <w:rPr>
                <w:b w:val="0"/>
                <w:sz w:val="16"/>
              </w:rPr>
              <w:t>Captures the end-to-end process history, including system actions and human decisions.</w:t>
            </w:r>
          </w:p>
        </w:tc>
        <w:tc>
          <w:tcPr>
            <w:tcW w:type="dxa" w:w="3564"/>
            <w:vAlign w:val="center"/>
            <w:shd w:fill="EAF2FB"/>
            <w:tcBorders>
              <w:top w:val="single" w:sz="6" w:space="0" w:color="CBD5E1"/>
              <w:left w:val="single" w:sz="6" w:space="0" w:color="CBD5E1"/>
              <w:bottom w:val="single" w:sz="6" w:space="0" w:color="CBD5E1"/>
              <w:right w:val="single" w:sz="6" w:space="0" w:color="CBD5E1"/>
            </w:tcBorders>
          </w:tcPr>
          <w:p>
            <w:r/>
            <w:r>
              <w:rPr>
                <w:b/>
                <w:color w:val="102440"/>
                <w:sz w:val="16"/>
              </w:rPr>
              <w:t>Agent memory</w:t>
            </w:r>
          </w:p>
        </w:tc>
        <w:tc>
          <w:tcPr>
            <w:tcW w:type="dxa" w:w="3564"/>
            <w:vAlign w:val="center"/>
            <w:shd w:fill="FFFFFF"/>
            <w:tcBorders>
              <w:top w:val="single" w:sz="6" w:space="0" w:color="CBD5E1"/>
              <w:left w:val="single" w:sz="6" w:space="0" w:color="CBD5E1"/>
              <w:bottom w:val="single" w:sz="6" w:space="0" w:color="CBD5E1"/>
              <w:right w:val="single" w:sz="6" w:space="0" w:color="CBD5E1"/>
            </w:tcBorders>
          </w:tcPr>
          <w:p>
            <w:r/>
            <w:r>
              <w:rPr>
                <w:b w:val="0"/>
                <w:sz w:val="16"/>
              </w:rPr>
              <w:t>Stores processing context and state so the workflow can resume and explain decisions.</w:t>
            </w:r>
          </w:p>
        </w:tc>
      </w:tr>
      <w:tr>
        <w:tc>
          <w:tcPr>
            <w:tcW w:type="dxa" w:w="3564"/>
            <w:vAlign w:val="center"/>
            <w:shd w:fill="EAF2FB"/>
            <w:tcBorders>
              <w:top w:val="single" w:sz="6" w:space="0" w:color="CBD5E1"/>
              <w:left w:val="single" w:sz="6" w:space="0" w:color="CBD5E1"/>
              <w:bottom w:val="single" w:sz="6" w:space="0" w:color="CBD5E1"/>
              <w:right w:val="single" w:sz="6" w:space="0" w:color="CBD5E1"/>
            </w:tcBorders>
          </w:tcPr>
          <w:p>
            <w:r/>
            <w:r>
              <w:rPr>
                <w:b/>
                <w:color w:val="102440"/>
                <w:sz w:val="16"/>
              </w:rPr>
              <w:t>Geneva integration</w:t>
            </w:r>
          </w:p>
        </w:tc>
        <w:tc>
          <w:tcPr>
            <w:tcW w:type="dxa" w:w="3564"/>
            <w:vAlign w:val="center"/>
            <w:shd w:fill="FFFFFF"/>
            <w:tcBorders>
              <w:top w:val="single" w:sz="6" w:space="0" w:color="CBD5E1"/>
              <w:left w:val="single" w:sz="6" w:space="0" w:color="CBD5E1"/>
              <w:bottom w:val="single" w:sz="6" w:space="0" w:color="CBD5E1"/>
              <w:right w:val="single" w:sz="6" w:space="0" w:color="CBD5E1"/>
            </w:tcBorders>
          </w:tcPr>
          <w:p>
            <w:r/>
            <w:r>
              <w:rPr>
                <w:b w:val="0"/>
                <w:sz w:val="16"/>
              </w:rPr>
              <w:t>Receives approved invoice values through API integration.</w:t>
            </w:r>
          </w:p>
        </w:tc>
        <w:tc>
          <w:tcPr>
            <w:tcW w:type="dxa" w:w="3564"/>
            <w:vAlign w:val="center"/>
            <w:shd w:fill="EAF2FB"/>
            <w:tcBorders>
              <w:top w:val="single" w:sz="6" w:space="0" w:color="CBD5E1"/>
              <w:left w:val="single" w:sz="6" w:space="0" w:color="CBD5E1"/>
              <w:bottom w:val="single" w:sz="6" w:space="0" w:color="CBD5E1"/>
              <w:right w:val="single" w:sz="6" w:space="0" w:color="CBD5E1"/>
            </w:tcBorders>
          </w:tcPr>
          <w:p>
            <w:r/>
            <w:r>
              <w:rPr>
                <w:b/>
                <w:color w:val="102440"/>
                <w:sz w:val="16"/>
              </w:rPr>
              <w:t>Microsoft Dynamics NAV / General Ledger</w:t>
            </w:r>
          </w:p>
        </w:tc>
        <w:tc>
          <w:tcPr>
            <w:tcW w:type="dxa" w:w="3564"/>
            <w:vAlign w:val="center"/>
            <w:shd w:fill="FFFFFF"/>
            <w:tcBorders>
              <w:top w:val="single" w:sz="6" w:space="0" w:color="CBD5E1"/>
              <w:left w:val="single" w:sz="6" w:space="0" w:color="CBD5E1"/>
              <w:bottom w:val="single" w:sz="6" w:space="0" w:color="CBD5E1"/>
              <w:right w:val="single" w:sz="6" w:space="0" w:color="CBD5E1"/>
            </w:tcBorders>
          </w:tcPr>
          <w:p>
            <w:r/>
            <w:r>
              <w:rPr>
                <w:b w:val="0"/>
                <w:sz w:val="16"/>
              </w:rPr>
              <w:t>Receives or supports the control pack and accounting evidence required for downstream controls.</w:t>
            </w:r>
          </w:p>
        </w:tc>
      </w:tr>
      <w:tr>
        <w:tc>
          <w:tcPr>
            <w:tcW w:type="dxa" w:w="3564"/>
            <w:vAlign w:val="center"/>
            <w:shd w:fill="EAF2FB"/>
            <w:tcBorders>
              <w:top w:val="single" w:sz="6" w:space="0" w:color="CBD5E1"/>
              <w:left w:val="single" w:sz="6" w:space="0" w:color="CBD5E1"/>
              <w:bottom w:val="single" w:sz="6" w:space="0" w:color="CBD5E1"/>
              <w:right w:val="single" w:sz="6" w:space="0" w:color="CBD5E1"/>
            </w:tcBorders>
          </w:tcPr>
          <w:p>
            <w:r/>
            <w:r>
              <w:rPr>
                <w:b/>
                <w:color w:val="102440"/>
                <w:sz w:val="16"/>
              </w:rPr>
              <w:t>Document repository</w:t>
            </w:r>
          </w:p>
        </w:tc>
        <w:tc>
          <w:tcPr>
            <w:tcW w:type="dxa" w:w="3564"/>
            <w:vAlign w:val="center"/>
            <w:shd w:fill="FFFFFF"/>
            <w:tcBorders>
              <w:top w:val="single" w:sz="6" w:space="0" w:color="CBD5E1"/>
              <w:left w:val="single" w:sz="6" w:space="0" w:color="CBD5E1"/>
              <w:bottom w:val="single" w:sz="6" w:space="0" w:color="CBD5E1"/>
              <w:right w:val="single" w:sz="6" w:space="0" w:color="CBD5E1"/>
            </w:tcBorders>
          </w:tcPr>
          <w:p>
            <w:r/>
            <w:r>
              <w:rPr>
                <w:b w:val="0"/>
                <w:sz w:val="16"/>
              </w:rPr>
              <w:t>Stores final artefacts and supporting evidence such as control packs and audit reports.</w:t>
            </w:r>
          </w:p>
        </w:tc>
        <w:tc>
          <w:tcPr>
            <w:tcW w:type="dxa" w:w="3564"/>
            <w:vAlign w:val="center"/>
            <w:shd w:fill="EAF2FB"/>
            <w:tcBorders>
              <w:top w:val="single" w:sz="6" w:space="0" w:color="CBD5E1"/>
              <w:left w:val="single" w:sz="6" w:space="0" w:color="CBD5E1"/>
              <w:bottom w:val="single" w:sz="6" w:space="0" w:color="CBD5E1"/>
              <w:right w:val="single" w:sz="6" w:space="0" w:color="CBD5E1"/>
            </w:tcBorders>
          </w:tcPr>
          <w:p>
            <w:r/>
            <w:r>
              <w:rPr>
                <w:b/>
                <w:color w:val="102440"/>
                <w:sz w:val="16"/>
              </w:rPr>
              <w:t>Client communication</w:t>
            </w:r>
          </w:p>
        </w:tc>
        <w:tc>
          <w:tcPr>
            <w:tcW w:type="dxa" w:w="3564"/>
            <w:vAlign w:val="center"/>
            <w:shd w:fill="FFFFFF"/>
            <w:tcBorders>
              <w:top w:val="single" w:sz="6" w:space="0" w:color="CBD5E1"/>
              <w:left w:val="single" w:sz="6" w:space="0" w:color="CBD5E1"/>
              <w:bottom w:val="single" w:sz="6" w:space="0" w:color="CBD5E1"/>
              <w:right w:val="single" w:sz="6" w:space="0" w:color="CBD5E1"/>
            </w:tcBorders>
          </w:tcPr>
          <w:p>
            <w:r/>
            <w:r>
              <w:rPr>
                <w:b w:val="0"/>
                <w:sz w:val="16"/>
              </w:rPr>
              <w:t>Sends success or failure responses based on the final processing outcome.</w:t>
            </w:r>
          </w:p>
        </w:tc>
      </w:tr>
    </w:tbl>
    <w:p>
      <w:pPr>
        <w:pStyle w:val="Heading2"/>
      </w:pPr>
      <w:r>
        <w:rPr>
          <w:color w:val="22539B"/>
          <w:sz w:val="26"/>
        </w:rPr>
        <w:t>Integration safeguards</w:t>
      </w:r>
    </w:p>
    <w:p>
      <w:pPr>
        <w:pStyle w:val="ListBullet"/>
        <w:spacing w:after="60"/>
      </w:pPr>
      <w:r>
        <w:rPr>
          <w:sz w:val="19"/>
        </w:rPr>
        <w:t>Only approved and validated invoice data is eligible for downstream posting.</w:t>
      </w:r>
    </w:p>
    <w:p>
      <w:pPr>
        <w:pStyle w:val="ListBullet"/>
        <w:spacing w:after="60"/>
      </w:pPr>
      <w:r>
        <w:rPr>
          <w:sz w:val="19"/>
        </w:rPr>
        <w:t>API responses from Geneva are captured so operations teams can reconcile successful and failed postings.</w:t>
      </w:r>
    </w:p>
    <w:p>
      <w:pPr>
        <w:pStyle w:val="ListBullet"/>
        <w:spacing w:after="60"/>
      </w:pPr>
      <w:r>
        <w:rPr>
          <w:sz w:val="19"/>
        </w:rPr>
        <w:t>Retry and error handling prevent silent failures and create a visible operational queue.</w:t>
      </w:r>
    </w:p>
    <w:p>
      <w:pPr>
        <w:pStyle w:val="ListBullet"/>
        <w:spacing w:after="60"/>
      </w:pPr>
      <w:r>
        <w:rPr>
          <w:sz w:val="19"/>
        </w:rPr>
        <w:t>Final client communications are based on the confirmed posting/control outcome rather than assumptions.</w:t>
      </w:r>
    </w:p>
    <w:p>
      <w:r>
        <w:br w:type="page"/>
      </w:r>
    </w:p>
    <w:p>
      <w:pPr>
        <w:pStyle w:val="Heading1"/>
      </w:pPr>
      <w:r>
        <w:rPr>
          <w:color w:val="102440"/>
          <w:sz w:val="36"/>
        </w:rPr>
        <w:t>5. Business Roles and Responsibilities</w:t>
      </w:r>
    </w:p>
    <w:p>
      <w:pPr>
        <w:spacing w:after="120" w:line="259" w:lineRule="auto"/>
      </w:pPr>
      <w:r>
        <w:rPr>
          <w:b w:val="0"/>
          <w:i w:val="0"/>
          <w:sz w:val="21"/>
        </w:rPr>
        <w:t>The proposed operating model clarifies who owns each decision and where automation supports the team. The AI agents perform routine processing; business users remain accountable for approval, exception resolution, and policy decisions.</w:t>
      </w:r>
    </w:p>
    <w:tbl>
      <w:tblPr>
        <w:tblW w:type="auto" w:w="0"/>
        <w:jc w:val="center"/>
        <w:tblLook w:firstColumn="1" w:firstRow="1" w:lastColumn="0" w:lastRow="0" w:noHBand="0" w:noVBand="1" w:val="04A0"/>
      </w:tblPr>
      <w:tblGrid>
        <w:gridCol w:w="7128"/>
        <w:gridCol w:w="7128"/>
      </w:tblGrid>
      <w:tr>
        <w:tc>
          <w:tcPr>
            <w:tcW w:type="dxa" w:w="7128"/>
            <w:vAlign w:val="center"/>
            <w:shd w:fill="102440"/>
            <w:tcBorders>
              <w:top w:val="single" w:sz="6" w:space="0" w:color="64748B"/>
              <w:left w:val="single" w:sz="6" w:space="0" w:color="64748B"/>
              <w:bottom w:val="single" w:sz="6" w:space="0" w:color="64748B"/>
              <w:right w:val="single" w:sz="6" w:space="0" w:color="64748B"/>
            </w:tcBorders>
          </w:tcPr>
          <w:p>
            <w:r/>
            <w:r>
              <w:rPr>
                <w:b/>
                <w:color w:val="FFFFFF"/>
                <w:sz w:val="18"/>
              </w:rPr>
              <w:t>Role</w:t>
            </w:r>
          </w:p>
        </w:tc>
        <w:tc>
          <w:tcPr>
            <w:tcW w:type="dxa" w:w="7128"/>
            <w:vAlign w:val="center"/>
            <w:shd w:fill="102440"/>
            <w:tcBorders>
              <w:top w:val="single" w:sz="6" w:space="0" w:color="64748B"/>
              <w:left w:val="single" w:sz="6" w:space="0" w:color="64748B"/>
              <w:bottom w:val="single" w:sz="6" w:space="0" w:color="64748B"/>
              <w:right w:val="single" w:sz="6" w:space="0" w:color="64748B"/>
            </w:tcBorders>
          </w:tcPr>
          <w:p>
            <w:r/>
            <w:r>
              <w:rPr>
                <w:b/>
                <w:color w:val="FFFFFF"/>
                <w:sz w:val="18"/>
              </w:rPr>
              <w:t>Primary responsibility in the automated model</w:t>
            </w:r>
          </w:p>
        </w:tc>
      </w:tr>
      <w:tr>
        <w:tc>
          <w:tcPr>
            <w:tcW w:type="dxa" w:w="7128"/>
            <w:vAlign w:val="center"/>
            <w:shd w:fill="EAF2FB"/>
            <w:tcBorders>
              <w:top w:val="single" w:sz="6" w:space="0" w:color="CBD5E1"/>
              <w:left w:val="single" w:sz="6" w:space="0" w:color="CBD5E1"/>
              <w:bottom w:val="single" w:sz="6" w:space="0" w:color="CBD5E1"/>
              <w:right w:val="single" w:sz="6" w:space="0" w:color="CBD5E1"/>
            </w:tcBorders>
          </w:tcPr>
          <w:p>
            <w:r/>
            <w:r>
              <w:rPr>
                <w:b/>
                <w:color w:val="102440"/>
                <w:sz w:val="17"/>
              </w:rPr>
              <w:t>Operations team</w:t>
            </w:r>
          </w:p>
        </w:tc>
        <w:tc>
          <w:tcPr>
            <w:tcW w:type="dxa" w:w="7128"/>
            <w:vAlign w:val="center"/>
            <w:shd w:fill="FFFFFF"/>
            <w:tcBorders>
              <w:top w:val="single" w:sz="6" w:space="0" w:color="CBD5E1"/>
              <w:left w:val="single" w:sz="6" w:space="0" w:color="CBD5E1"/>
              <w:bottom w:val="single" w:sz="6" w:space="0" w:color="CBD5E1"/>
              <w:right w:val="single" w:sz="6" w:space="0" w:color="CBD5E1"/>
            </w:tcBorders>
          </w:tcPr>
          <w:p>
            <w:r/>
            <w:r>
              <w:rPr>
                <w:b w:val="0"/>
                <w:sz w:val="17"/>
              </w:rPr>
              <w:t>Monitors the queue, reviews exceptions, confirms unusual cases, and resolves operational issues.</w:t>
            </w:r>
          </w:p>
        </w:tc>
      </w:tr>
      <w:tr>
        <w:tc>
          <w:tcPr>
            <w:tcW w:type="dxa" w:w="7128"/>
            <w:vAlign w:val="center"/>
            <w:shd w:fill="EAF2FB"/>
            <w:tcBorders>
              <w:top w:val="single" w:sz="6" w:space="0" w:color="CBD5E1"/>
              <w:left w:val="single" w:sz="6" w:space="0" w:color="CBD5E1"/>
              <w:bottom w:val="single" w:sz="6" w:space="0" w:color="CBD5E1"/>
              <w:right w:val="single" w:sz="6" w:space="0" w:color="CBD5E1"/>
            </w:tcBorders>
          </w:tcPr>
          <w:p>
            <w:r/>
            <w:r>
              <w:rPr>
                <w:b/>
                <w:color w:val="102440"/>
                <w:sz w:val="17"/>
              </w:rPr>
              <w:t>Approver / reviewer</w:t>
            </w:r>
          </w:p>
        </w:tc>
        <w:tc>
          <w:tcPr>
            <w:tcW w:type="dxa" w:w="7128"/>
            <w:vAlign w:val="center"/>
            <w:shd w:fill="FFFFFF"/>
            <w:tcBorders>
              <w:top w:val="single" w:sz="6" w:space="0" w:color="CBD5E1"/>
              <w:left w:val="single" w:sz="6" w:space="0" w:color="CBD5E1"/>
              <w:bottom w:val="single" w:sz="6" w:space="0" w:color="CBD5E1"/>
              <w:right w:val="single" w:sz="6" w:space="0" w:color="CBD5E1"/>
            </w:tcBorders>
          </w:tcPr>
          <w:p>
            <w:r/>
            <w:r>
              <w:rPr>
                <w:b w:val="0"/>
                <w:sz w:val="17"/>
              </w:rPr>
              <w:t>Performs four-eye review, approves or rejects invoices, and adds business comments where needed.</w:t>
            </w:r>
          </w:p>
        </w:tc>
      </w:tr>
      <w:tr>
        <w:tc>
          <w:tcPr>
            <w:tcW w:type="dxa" w:w="7128"/>
            <w:vAlign w:val="center"/>
            <w:shd w:fill="EAF2FB"/>
            <w:tcBorders>
              <w:top w:val="single" w:sz="6" w:space="0" w:color="CBD5E1"/>
              <w:left w:val="single" w:sz="6" w:space="0" w:color="CBD5E1"/>
              <w:bottom w:val="single" w:sz="6" w:space="0" w:color="CBD5E1"/>
              <w:right w:val="single" w:sz="6" w:space="0" w:color="CBD5E1"/>
            </w:tcBorders>
          </w:tcPr>
          <w:p>
            <w:r/>
            <w:r>
              <w:rPr>
                <w:b/>
                <w:color w:val="102440"/>
                <w:sz w:val="17"/>
              </w:rPr>
              <w:t>Finance / NAV control owner</w:t>
            </w:r>
          </w:p>
        </w:tc>
        <w:tc>
          <w:tcPr>
            <w:tcW w:type="dxa" w:w="7128"/>
            <w:vAlign w:val="center"/>
            <w:shd w:fill="FFFFFF"/>
            <w:tcBorders>
              <w:top w:val="single" w:sz="6" w:space="0" w:color="CBD5E1"/>
              <w:left w:val="single" w:sz="6" w:space="0" w:color="CBD5E1"/>
              <w:bottom w:val="single" w:sz="6" w:space="0" w:color="CBD5E1"/>
              <w:right w:val="single" w:sz="6" w:space="0" w:color="CBD5E1"/>
            </w:tcBorders>
          </w:tcPr>
          <w:p>
            <w:r/>
            <w:r>
              <w:rPr>
                <w:b w:val="0"/>
                <w:sz w:val="17"/>
              </w:rPr>
              <w:t>Reviews control packs, confirms evidence completeness, and owns reconciliation expectations.</w:t>
            </w:r>
          </w:p>
        </w:tc>
      </w:tr>
      <w:tr>
        <w:tc>
          <w:tcPr>
            <w:tcW w:type="dxa" w:w="7128"/>
            <w:vAlign w:val="center"/>
            <w:shd w:fill="EAF2FB"/>
            <w:tcBorders>
              <w:top w:val="single" w:sz="6" w:space="0" w:color="CBD5E1"/>
              <w:left w:val="single" w:sz="6" w:space="0" w:color="CBD5E1"/>
              <w:bottom w:val="single" w:sz="6" w:space="0" w:color="CBD5E1"/>
              <w:right w:val="single" w:sz="6" w:space="0" w:color="CBD5E1"/>
            </w:tcBorders>
          </w:tcPr>
          <w:p>
            <w:r/>
            <w:r>
              <w:rPr>
                <w:b/>
                <w:color w:val="102440"/>
                <w:sz w:val="17"/>
              </w:rPr>
              <w:t>Technology / integration owner</w:t>
            </w:r>
          </w:p>
        </w:tc>
        <w:tc>
          <w:tcPr>
            <w:tcW w:type="dxa" w:w="7128"/>
            <w:vAlign w:val="center"/>
            <w:shd w:fill="FFFFFF"/>
            <w:tcBorders>
              <w:top w:val="single" w:sz="6" w:space="0" w:color="CBD5E1"/>
              <w:left w:val="single" w:sz="6" w:space="0" w:color="CBD5E1"/>
              <w:bottom w:val="single" w:sz="6" w:space="0" w:color="CBD5E1"/>
              <w:right w:val="single" w:sz="6" w:space="0" w:color="CBD5E1"/>
            </w:tcBorders>
          </w:tcPr>
          <w:p>
            <w:r/>
            <w:r>
              <w:rPr>
                <w:b w:val="0"/>
                <w:sz w:val="17"/>
              </w:rPr>
              <w:t>Maintains connections to Geneva, email, repositories, and downstream systems.</w:t>
            </w:r>
          </w:p>
        </w:tc>
      </w:tr>
      <w:tr>
        <w:tc>
          <w:tcPr>
            <w:tcW w:type="dxa" w:w="7128"/>
            <w:vAlign w:val="center"/>
            <w:shd w:fill="EAF2FB"/>
            <w:tcBorders>
              <w:top w:val="single" w:sz="6" w:space="0" w:color="CBD5E1"/>
              <w:left w:val="single" w:sz="6" w:space="0" w:color="CBD5E1"/>
              <w:bottom w:val="single" w:sz="6" w:space="0" w:color="CBD5E1"/>
              <w:right w:val="single" w:sz="6" w:space="0" w:color="CBD5E1"/>
            </w:tcBorders>
          </w:tcPr>
          <w:p>
            <w:r/>
            <w:r>
              <w:rPr>
                <w:b/>
                <w:color w:val="102440"/>
                <w:sz w:val="17"/>
              </w:rPr>
              <w:t>Risk, compliance and audit</w:t>
            </w:r>
          </w:p>
        </w:tc>
        <w:tc>
          <w:tcPr>
            <w:tcW w:type="dxa" w:w="7128"/>
            <w:vAlign w:val="center"/>
            <w:shd w:fill="FFFFFF"/>
            <w:tcBorders>
              <w:top w:val="single" w:sz="6" w:space="0" w:color="CBD5E1"/>
              <w:left w:val="single" w:sz="6" w:space="0" w:color="CBD5E1"/>
              <w:bottom w:val="single" w:sz="6" w:space="0" w:color="CBD5E1"/>
              <w:right w:val="single" w:sz="6" w:space="0" w:color="CBD5E1"/>
            </w:tcBorders>
          </w:tcPr>
          <w:p>
            <w:r/>
            <w:r>
              <w:rPr>
                <w:b w:val="0"/>
                <w:sz w:val="17"/>
              </w:rPr>
              <w:t>Reviews audit trails, retention, policy compliance, and evidence quality.</w:t>
            </w:r>
          </w:p>
        </w:tc>
      </w:tr>
      <w:tr>
        <w:tc>
          <w:tcPr>
            <w:tcW w:type="dxa" w:w="7128"/>
            <w:vAlign w:val="center"/>
            <w:shd w:fill="EAF2FB"/>
            <w:tcBorders>
              <w:top w:val="single" w:sz="6" w:space="0" w:color="CBD5E1"/>
              <w:left w:val="single" w:sz="6" w:space="0" w:color="CBD5E1"/>
              <w:bottom w:val="single" w:sz="6" w:space="0" w:color="CBD5E1"/>
              <w:right w:val="single" w:sz="6" w:space="0" w:color="CBD5E1"/>
            </w:tcBorders>
          </w:tcPr>
          <w:p>
            <w:r/>
            <w:r>
              <w:rPr>
                <w:b/>
                <w:color w:val="102440"/>
                <w:sz w:val="17"/>
              </w:rPr>
              <w:t>Client service team</w:t>
            </w:r>
          </w:p>
        </w:tc>
        <w:tc>
          <w:tcPr>
            <w:tcW w:type="dxa" w:w="7128"/>
            <w:vAlign w:val="center"/>
            <w:shd w:fill="FFFFFF"/>
            <w:tcBorders>
              <w:top w:val="single" w:sz="6" w:space="0" w:color="CBD5E1"/>
              <w:left w:val="single" w:sz="6" w:space="0" w:color="CBD5E1"/>
              <w:bottom w:val="single" w:sz="6" w:space="0" w:color="CBD5E1"/>
              <w:right w:val="single" w:sz="6" w:space="0" w:color="CBD5E1"/>
            </w:tcBorders>
          </w:tcPr>
          <w:p>
            <w:r/>
            <w:r>
              <w:rPr>
                <w:b w:val="0"/>
                <w:sz w:val="17"/>
              </w:rPr>
              <w:t>Uses success and failure responses to keep clients informed and resolve payment questions.</w:t>
            </w:r>
          </w:p>
        </w:tc>
      </w:tr>
    </w:tbl>
    <w:p>
      <w:pPr>
        <w:pStyle w:val="Heading2"/>
      </w:pPr>
      <w:r>
        <w:rPr>
          <w:color w:val="22539B"/>
          <w:sz w:val="26"/>
        </w:rPr>
        <w:t>What changes for business teams</w:t>
      </w:r>
    </w:p>
    <w:p>
      <w:pPr>
        <w:pStyle w:val="ListBullet"/>
        <w:spacing w:after="60"/>
      </w:pPr>
      <w:r>
        <w:rPr>
          <w:sz w:val="19"/>
        </w:rPr>
        <w:t>Less time spent manually reading, copying, and re-keying invoice values.</w:t>
      </w:r>
    </w:p>
    <w:p>
      <w:pPr>
        <w:pStyle w:val="ListBullet"/>
        <w:spacing w:after="60"/>
      </w:pPr>
      <w:r>
        <w:rPr>
          <w:sz w:val="19"/>
        </w:rPr>
        <w:t>More focus on exceptions, approvals, judgement-based decisions, and client service.</w:t>
      </w:r>
    </w:p>
    <w:p>
      <w:pPr>
        <w:pStyle w:val="ListBullet"/>
        <w:spacing w:after="60"/>
      </w:pPr>
      <w:r>
        <w:rPr>
          <w:sz w:val="19"/>
        </w:rPr>
        <w:t>Better visibility into invoice status, reasons for failure, and ageing work items.</w:t>
      </w:r>
    </w:p>
    <w:p>
      <w:pPr>
        <w:pStyle w:val="ListBullet"/>
        <w:spacing w:after="60"/>
      </w:pPr>
      <w:r>
        <w:rPr>
          <w:sz w:val="19"/>
        </w:rPr>
        <w:t>Consistent evidence for internal controls, audits, and downstream reconciliations.</w:t>
      </w:r>
    </w:p>
    <w:p>
      <w:r>
        <w:br w:type="page"/>
      </w:r>
    </w:p>
    <w:p>
      <w:pPr>
        <w:pStyle w:val="Heading1"/>
      </w:pPr>
      <w:r>
        <w:rPr>
          <w:color w:val="102440"/>
          <w:sz w:val="36"/>
        </w:rPr>
        <w:t>6. Recommended Implementation Roadmap</w:t>
      </w:r>
    </w:p>
    <w:p>
      <w:pPr>
        <w:spacing w:after="120" w:line="259" w:lineRule="auto"/>
      </w:pPr>
      <w:r>
        <w:rPr>
          <w:b w:val="0"/>
          <w:i w:val="0"/>
          <w:sz w:val="21"/>
        </w:rPr>
        <w:t>A phased rollout will let the business prove value while reducing delivery risk. The roadmap below focuses on introducing automation progressively, with business sign-off at each control point.</w:t>
      </w:r>
    </w:p>
    <w:tbl>
      <w:tblPr>
        <w:tblW w:type="auto" w:w="0"/>
        <w:jc w:val="center"/>
        <w:tblLook w:firstColumn="1" w:firstRow="1" w:lastColumn="0" w:lastRow="0" w:noHBand="0" w:noVBand="1" w:val="04A0"/>
      </w:tblPr>
      <w:tblGrid>
        <w:gridCol w:w="7128"/>
        <w:gridCol w:w="7128"/>
      </w:tblGrid>
      <w:tr>
        <w:tc>
          <w:tcPr>
            <w:tcW w:type="dxa" w:w="7128"/>
            <w:vAlign w:val="center"/>
            <w:shd w:fill="102440"/>
            <w:tcBorders>
              <w:top w:val="single" w:sz="6" w:space="0" w:color="64748B"/>
              <w:left w:val="single" w:sz="6" w:space="0" w:color="64748B"/>
              <w:bottom w:val="single" w:sz="6" w:space="0" w:color="64748B"/>
              <w:right w:val="single" w:sz="6" w:space="0" w:color="64748B"/>
            </w:tcBorders>
          </w:tcPr>
          <w:p>
            <w:r/>
            <w:r>
              <w:rPr>
                <w:b/>
                <w:color w:val="FFFFFF"/>
                <w:sz w:val="18"/>
              </w:rPr>
              <w:t>Roadmap phase</w:t>
            </w:r>
          </w:p>
        </w:tc>
        <w:tc>
          <w:tcPr>
            <w:tcW w:type="dxa" w:w="7128"/>
            <w:vAlign w:val="center"/>
            <w:shd w:fill="102440"/>
            <w:tcBorders>
              <w:top w:val="single" w:sz="6" w:space="0" w:color="64748B"/>
              <w:left w:val="single" w:sz="6" w:space="0" w:color="64748B"/>
              <w:bottom w:val="single" w:sz="6" w:space="0" w:color="64748B"/>
              <w:right w:val="single" w:sz="6" w:space="0" w:color="64748B"/>
            </w:tcBorders>
          </w:tcPr>
          <w:p>
            <w:r/>
            <w:r>
              <w:rPr>
                <w:b/>
                <w:color w:val="FFFFFF"/>
                <w:sz w:val="18"/>
              </w:rPr>
              <w:t>Business focus</w:t>
            </w:r>
          </w:p>
        </w:tc>
      </w:tr>
      <w:tr>
        <w:tc>
          <w:tcPr>
            <w:tcW w:type="dxa" w:w="7128"/>
            <w:vAlign w:val="center"/>
            <w:shd w:fill="EAF2FB"/>
            <w:tcBorders>
              <w:top w:val="single" w:sz="6" w:space="0" w:color="CBD5E1"/>
              <w:left w:val="single" w:sz="6" w:space="0" w:color="CBD5E1"/>
              <w:bottom w:val="single" w:sz="6" w:space="0" w:color="CBD5E1"/>
              <w:right w:val="single" w:sz="6" w:space="0" w:color="CBD5E1"/>
            </w:tcBorders>
          </w:tcPr>
          <w:p>
            <w:r/>
            <w:r>
              <w:rPr>
                <w:b/>
                <w:color w:val="102440"/>
                <w:sz w:val="17"/>
              </w:rPr>
              <w:t>Phase 1: Discovery and baseline</w:t>
            </w:r>
          </w:p>
        </w:tc>
        <w:tc>
          <w:tcPr>
            <w:tcW w:type="dxa" w:w="7128"/>
            <w:vAlign w:val="center"/>
            <w:shd w:fill="FFFFFF"/>
            <w:tcBorders>
              <w:top w:val="single" w:sz="6" w:space="0" w:color="CBD5E1"/>
              <w:left w:val="single" w:sz="6" w:space="0" w:color="CBD5E1"/>
              <w:bottom w:val="single" w:sz="6" w:space="0" w:color="CBD5E1"/>
              <w:right w:val="single" w:sz="6" w:space="0" w:color="CBD5E1"/>
            </w:tcBorders>
          </w:tcPr>
          <w:p>
            <w:r/>
            <w:r>
              <w:rPr>
                <w:b w:val="0"/>
                <w:sz w:val="17"/>
              </w:rPr>
              <w:t>Document the current manual workflow, invoice variants, required fields, review rules, exception reasons, and Geneva/NAV requirements.</w:t>
            </w:r>
          </w:p>
        </w:tc>
      </w:tr>
      <w:tr>
        <w:tc>
          <w:tcPr>
            <w:tcW w:type="dxa" w:w="7128"/>
            <w:vAlign w:val="center"/>
            <w:shd w:fill="EAF2FB"/>
            <w:tcBorders>
              <w:top w:val="single" w:sz="6" w:space="0" w:color="CBD5E1"/>
              <w:left w:val="single" w:sz="6" w:space="0" w:color="CBD5E1"/>
              <w:bottom w:val="single" w:sz="6" w:space="0" w:color="CBD5E1"/>
              <w:right w:val="single" w:sz="6" w:space="0" w:color="CBD5E1"/>
            </w:tcBorders>
          </w:tcPr>
          <w:p>
            <w:r/>
            <w:r>
              <w:rPr>
                <w:b/>
                <w:color w:val="102440"/>
                <w:sz w:val="17"/>
              </w:rPr>
              <w:t>Phase 2: Pilot extraction and validation</w:t>
            </w:r>
          </w:p>
        </w:tc>
        <w:tc>
          <w:tcPr>
            <w:tcW w:type="dxa" w:w="7128"/>
            <w:vAlign w:val="center"/>
            <w:shd w:fill="FFFFFF"/>
            <w:tcBorders>
              <w:top w:val="single" w:sz="6" w:space="0" w:color="CBD5E1"/>
              <w:left w:val="single" w:sz="6" w:space="0" w:color="CBD5E1"/>
              <w:bottom w:val="single" w:sz="6" w:space="0" w:color="CBD5E1"/>
              <w:right w:val="single" w:sz="6" w:space="0" w:color="CBD5E1"/>
            </w:tcBorders>
          </w:tcPr>
          <w:p>
            <w:r/>
            <w:r>
              <w:rPr>
                <w:b w:val="0"/>
                <w:sz w:val="17"/>
              </w:rPr>
              <w:t>Run AI extraction and rule validation on a controlled set of invoices while keeping manual processing as the official process.</w:t>
            </w:r>
          </w:p>
        </w:tc>
      </w:tr>
      <w:tr>
        <w:tc>
          <w:tcPr>
            <w:tcW w:type="dxa" w:w="7128"/>
            <w:vAlign w:val="center"/>
            <w:shd w:fill="EAF2FB"/>
            <w:tcBorders>
              <w:top w:val="single" w:sz="6" w:space="0" w:color="CBD5E1"/>
              <w:left w:val="single" w:sz="6" w:space="0" w:color="CBD5E1"/>
              <w:bottom w:val="single" w:sz="6" w:space="0" w:color="CBD5E1"/>
              <w:right w:val="single" w:sz="6" w:space="0" w:color="CBD5E1"/>
            </w:tcBorders>
          </w:tcPr>
          <w:p>
            <w:r/>
            <w:r>
              <w:rPr>
                <w:b/>
                <w:color w:val="102440"/>
                <w:sz w:val="17"/>
              </w:rPr>
              <w:t>Phase 3: Human-in-the-loop review</w:t>
            </w:r>
          </w:p>
        </w:tc>
        <w:tc>
          <w:tcPr>
            <w:tcW w:type="dxa" w:w="7128"/>
            <w:vAlign w:val="center"/>
            <w:shd w:fill="FFFFFF"/>
            <w:tcBorders>
              <w:top w:val="single" w:sz="6" w:space="0" w:color="CBD5E1"/>
              <w:left w:val="single" w:sz="6" w:space="0" w:color="CBD5E1"/>
              <w:bottom w:val="single" w:sz="6" w:space="0" w:color="CBD5E1"/>
              <w:right w:val="single" w:sz="6" w:space="0" w:color="CBD5E1"/>
            </w:tcBorders>
          </w:tcPr>
          <w:p>
            <w:r/>
            <w:r>
              <w:rPr>
                <w:b w:val="0"/>
                <w:sz w:val="17"/>
              </w:rPr>
              <w:t>Introduce the review workbench and approval capture, including side-by-side invoice and extracted data comparison.</w:t>
            </w:r>
          </w:p>
        </w:tc>
      </w:tr>
      <w:tr>
        <w:tc>
          <w:tcPr>
            <w:tcW w:type="dxa" w:w="7128"/>
            <w:vAlign w:val="center"/>
            <w:shd w:fill="EAF2FB"/>
            <w:tcBorders>
              <w:top w:val="single" w:sz="6" w:space="0" w:color="CBD5E1"/>
              <w:left w:val="single" w:sz="6" w:space="0" w:color="CBD5E1"/>
              <w:bottom w:val="single" w:sz="6" w:space="0" w:color="CBD5E1"/>
              <w:right w:val="single" w:sz="6" w:space="0" w:color="CBD5E1"/>
            </w:tcBorders>
          </w:tcPr>
          <w:p>
            <w:r/>
            <w:r>
              <w:rPr>
                <w:b/>
                <w:color w:val="102440"/>
                <w:sz w:val="17"/>
              </w:rPr>
              <w:t>Phase 4: Controlled Geneva posting</w:t>
            </w:r>
          </w:p>
        </w:tc>
        <w:tc>
          <w:tcPr>
            <w:tcW w:type="dxa" w:w="7128"/>
            <w:vAlign w:val="center"/>
            <w:shd w:fill="FFFFFF"/>
            <w:tcBorders>
              <w:top w:val="single" w:sz="6" w:space="0" w:color="CBD5E1"/>
              <w:left w:val="single" w:sz="6" w:space="0" w:color="CBD5E1"/>
              <w:bottom w:val="single" w:sz="6" w:space="0" w:color="CBD5E1"/>
              <w:right w:val="single" w:sz="6" w:space="0" w:color="CBD5E1"/>
            </w:tcBorders>
          </w:tcPr>
          <w:p>
            <w:r/>
            <w:r>
              <w:rPr>
                <w:b w:val="0"/>
                <w:sz w:val="17"/>
              </w:rPr>
              <w:t>Enable API posting for approved pilot cases, capture responses, and reconcile outcomes with operations and finance.</w:t>
            </w:r>
          </w:p>
        </w:tc>
      </w:tr>
      <w:tr>
        <w:tc>
          <w:tcPr>
            <w:tcW w:type="dxa" w:w="7128"/>
            <w:vAlign w:val="center"/>
            <w:shd w:fill="EAF2FB"/>
            <w:tcBorders>
              <w:top w:val="single" w:sz="6" w:space="0" w:color="CBD5E1"/>
              <w:left w:val="single" w:sz="6" w:space="0" w:color="CBD5E1"/>
              <w:bottom w:val="single" w:sz="6" w:space="0" w:color="CBD5E1"/>
              <w:right w:val="single" w:sz="6" w:space="0" w:color="CBD5E1"/>
            </w:tcBorders>
          </w:tcPr>
          <w:p>
            <w:r/>
            <w:r>
              <w:rPr>
                <w:b/>
                <w:color w:val="102440"/>
                <w:sz w:val="17"/>
              </w:rPr>
              <w:t>Phase 5: Control pack and client response</w:t>
            </w:r>
          </w:p>
        </w:tc>
        <w:tc>
          <w:tcPr>
            <w:tcW w:type="dxa" w:w="7128"/>
            <w:vAlign w:val="center"/>
            <w:shd w:fill="FFFFFF"/>
            <w:tcBorders>
              <w:top w:val="single" w:sz="6" w:space="0" w:color="CBD5E1"/>
              <w:left w:val="single" w:sz="6" w:space="0" w:color="CBD5E1"/>
              <w:bottom w:val="single" w:sz="6" w:space="0" w:color="CBD5E1"/>
              <w:right w:val="single" w:sz="6" w:space="0" w:color="CBD5E1"/>
            </w:tcBorders>
          </w:tcPr>
          <w:p>
            <w:r/>
            <w:r>
              <w:rPr>
                <w:b w:val="0"/>
                <w:sz w:val="17"/>
              </w:rPr>
              <w:t>Generate NAV control packs and automate client success/failure messages after confirmed outcomes.</w:t>
            </w:r>
          </w:p>
        </w:tc>
      </w:tr>
      <w:tr>
        <w:tc>
          <w:tcPr>
            <w:tcW w:type="dxa" w:w="7128"/>
            <w:vAlign w:val="center"/>
            <w:shd w:fill="EAF2FB"/>
            <w:tcBorders>
              <w:top w:val="single" w:sz="6" w:space="0" w:color="CBD5E1"/>
              <w:left w:val="single" w:sz="6" w:space="0" w:color="CBD5E1"/>
              <w:bottom w:val="single" w:sz="6" w:space="0" w:color="CBD5E1"/>
              <w:right w:val="single" w:sz="6" w:space="0" w:color="CBD5E1"/>
            </w:tcBorders>
          </w:tcPr>
          <w:p>
            <w:r/>
            <w:r>
              <w:rPr>
                <w:b/>
                <w:color w:val="102440"/>
                <w:sz w:val="17"/>
              </w:rPr>
              <w:t>Phase 6: Scale and optimise</w:t>
            </w:r>
          </w:p>
        </w:tc>
        <w:tc>
          <w:tcPr>
            <w:tcW w:type="dxa" w:w="7128"/>
            <w:vAlign w:val="center"/>
            <w:shd w:fill="FFFFFF"/>
            <w:tcBorders>
              <w:top w:val="single" w:sz="6" w:space="0" w:color="CBD5E1"/>
              <w:left w:val="single" w:sz="6" w:space="0" w:color="CBD5E1"/>
              <w:bottom w:val="single" w:sz="6" w:space="0" w:color="CBD5E1"/>
              <w:right w:val="single" w:sz="6" w:space="0" w:color="CBD5E1"/>
            </w:tcBorders>
          </w:tcPr>
          <w:p>
            <w:r/>
            <w:r>
              <w:rPr>
                <w:b w:val="0"/>
                <w:sz w:val="17"/>
              </w:rPr>
              <w:t>Expand invoice coverage, tune exception handling, track KPIs, and continuously improve accuracy and turnaround time.</w:t>
            </w:r>
          </w:p>
        </w:tc>
      </w:tr>
    </w:tbl>
    <w:p>
      <w:pPr>
        <w:pStyle w:val="Heading2"/>
      </w:pPr>
      <w:r>
        <w:rPr>
          <w:color w:val="22539B"/>
          <w:sz w:val="26"/>
        </w:rPr>
        <w:t>Success measures</w:t>
      </w:r>
    </w:p>
    <w:p>
      <w:pPr>
        <w:pStyle w:val="ListBullet"/>
        <w:spacing w:after="60"/>
      </w:pPr>
      <w:r>
        <w:rPr>
          <w:sz w:val="19"/>
        </w:rPr>
        <w:t>Reduction in invoice turnaround time from receipt to client response.</w:t>
      </w:r>
    </w:p>
    <w:p>
      <w:pPr>
        <w:pStyle w:val="ListBullet"/>
        <w:spacing w:after="60"/>
      </w:pPr>
      <w:r>
        <w:rPr>
          <w:sz w:val="19"/>
        </w:rPr>
        <w:t>Reduction in manual re-keying and repeated review effort.</w:t>
      </w:r>
    </w:p>
    <w:p>
      <w:pPr>
        <w:pStyle w:val="ListBullet"/>
        <w:spacing w:after="60"/>
      </w:pPr>
      <w:r>
        <w:rPr>
          <w:sz w:val="19"/>
        </w:rPr>
        <w:t>Improved extraction and validation accuracy over time.</w:t>
      </w:r>
    </w:p>
    <w:p>
      <w:pPr>
        <w:pStyle w:val="ListBullet"/>
        <w:spacing w:after="60"/>
      </w:pPr>
      <w:r>
        <w:rPr>
          <w:sz w:val="19"/>
        </w:rPr>
        <w:t>Clear visibility of exceptions, ageing items, and failure reasons.</w:t>
      </w:r>
    </w:p>
    <w:p>
      <w:pPr>
        <w:pStyle w:val="ListBullet"/>
        <w:spacing w:after="60"/>
      </w:pPr>
      <w:r>
        <w:rPr>
          <w:sz w:val="19"/>
        </w:rPr>
        <w:t>Evidence that approved invoices can be traced from original PDF to Geneva posting and NAV control pack.</w:t>
      </w:r>
    </w:p>
    <w:sectPr w:rsidR="00FC693F" w:rsidRPr="0006063C" w:rsidSect="00034616">
      <w:footerReference w:type="default" r:id="rId9"/>
      <w:pgSz w:w="15840" w:h="12240" w:orient="landscape"/>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370"/>
        <w:sz w:val="16"/>
      </w:rPr>
      <w:t>AI Agent-Based Invoice Processing System | Business Design Overview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Agent-Based Invoice Processing System - Business Design Overview</dc:title>
  <dc:subject>Business explanation of AI-enabled invoice processing design</dc:subject>
  <dc:creator>OpenAI</dc:creator>
  <cp:keywords>invoice processing, AI agents, Geneva, NAV control pack, automation, four-eye review</cp:keywords>
  <dc:description>generated by python-docx</dc:description>
  <cp:lastModifiedBy/>
  <cp:revision>1</cp:revision>
  <dcterms:created xsi:type="dcterms:W3CDTF">2013-12-23T23:15:00Z</dcterms:created>
  <dcterms:modified xsi:type="dcterms:W3CDTF">2013-12-23T23:15:00Z</dcterms:modified>
  <cp:category/>
</cp:coreProperties>
</file>