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50594F"/>
          <w:sz w:val="20"/>
          <w:szCs w:val="20"/>
        </w:rPr>
        <w:t xml:space="preserve">BNP Paribas – Liquid Alternatives</w:t>
      </w:r>
    </w:p>
    <w:p>
      <w:pPr>
        <w:spacing w:after="200"/>
      </w:pPr>
      <w:r>
        <w:rPr>
          <w:b/>
          <w:bCs/>
          <w:color w:val="1F5F45"/>
          <w:sz w:val="42"/>
          <w:szCs w:val="42"/>
        </w:rPr>
        <w:t xml:space="preserve">AI Use Case Business Case</w:t>
      </w:r>
    </w:p>
    <w:p>
      <w:pPr>
        <w:spacing w:after="40"/>
      </w:pPr>
      <w:r>
        <w:rPr>
          <w:b/>
          <w:bCs/>
          <w:color w:val="1F2B24"/>
          <w:sz w:val="25"/>
          <w:szCs w:val="25"/>
        </w:rPr>
        <w:t xml:space="preserve">Cost &amp; risk summary for a go / no-go development decision</w:t>
      </w:r>
    </w:p>
    <w:p>
      <w:pPr>
        <w:spacing w:after="300"/>
      </w:pPr>
      <w:r>
        <w:rPr>
          <w:i/>
          <w:iCs/>
          <w:color w:val="50594F"/>
          <w:sz w:val="22"/>
          <w:szCs w:val="22"/>
        </w:rPr>
        <w:t xml:space="preserve">UC-024 · UC-022 · UC-021 · UC-023 · UC-004</w:t>
      </w:r>
    </w:p>
    <w:p>
      <w:pPr>
        <w:spacing w:after="160" w:before="260"/>
      </w:pPr>
      <w:r>
        <w:rPr>
          <w:rFonts w:ascii="Arial" w:cs="Arial" w:eastAsia="Arial" w:hAnsi="Arial"/>
          <w:b/>
          <w:bCs/>
          <w:color w:val="1F5F45"/>
          <w:sz w:val="30"/>
          <w:szCs w:val="30"/>
        </w:rPr>
        <w:t xml:space="preserve">Purpose</w:t>
      </w:r>
    </w:p>
    <w:p>
      <w:pPr>
        <w:spacing w:after="110"/>
      </w:pPr>
      <w:r>
        <w:rPr>
          <w:color w:val="1F2B24"/>
          <w:sz w:val="21"/>
          <w:szCs w:val="21"/>
        </w:rPr>
        <w:t xml:space="preserve">This document supports a cost-based decision on whether to proceed with development for the five AI use cases already approved for consideration. For each use case it sets out the manual effort involved today, the process volume, the current operating cost, the risks that need active management in automating it, and an indicative build effort broken down by governance, infrastructure, development and QA.</w:t>
      </w:r>
    </w:p>
    <w:p>
      <w:pPr>
        <w:spacing w:after="160" w:before="260"/>
      </w:pPr>
      <w:r>
        <w:rPr>
          <w:rFonts w:ascii="Arial" w:cs="Arial" w:eastAsia="Arial" w:hAnsi="Arial"/>
          <w:b/>
          <w:bCs/>
          <w:color w:val="1F5F45"/>
          <w:sz w:val="30"/>
          <w:szCs w:val="30"/>
        </w:rPr>
        <w:t xml:space="preserve">Data availability notice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AD5A3E" w:sz="4"/>
              <w:left w:val="single" w:color="AD5A3E" w:sz="16"/>
              <w:bottom w:val="single" w:color="AD5A3E" w:sz="4"/>
              <w:right w:val="single" w:color="AD5A3E" w:sz="4"/>
            </w:tcBorders>
            <w:shd w:fill="FBF0EC" w:val="clear"/>
            <w:tcMar>
              <w:top w:type="dxa" w:w="90"/>
              <w:left w:type="dxa" w:w="160"/>
              <w:bottom w:type="dxa" w:w="90"/>
              <w:right w:type="dxa" w:w="160"/>
            </w:tcMar>
          </w:tcPr>
          <w:p>
            <w:pPr>
              <w:spacing w:after="40"/>
            </w:pPr>
            <w:r>
              <w:rPr>
                <w:b/>
                <w:bCs/>
                <w:color w:val="AD5A3E"/>
                <w:sz w:val="18"/>
                <w:szCs w:val="18"/>
              </w:rPr>
              <w:t xml:space="preserve">DATA GAP</w:t>
            </w:r>
          </w:p>
          <w:p>
            <w:r>
              <w:rPr>
                <w:color w:val="1F2B24"/>
                <w:sz w:val="20"/>
                <w:szCs w:val="20"/>
              </w:rPr>
              <w:t xml:space="preserve">Effort and volume are confirmed for UC-024, UC-022, UC-021 and UC-023 (process-owner notes, 20–25 Aug 2026), refreshed further on this update with a fuller UC-024 process breakdown, a complete (previously cut-off) UC-022 risk note, source process documentation for UC-022, and a confirmed UC-021 benefit figure (0.27 FTE saving). UC-004 has now been explicitly confirmed by the process owner as “No Estimates Yet” – this is a confirmed absence, not a missing page. What remains open: (1) UC-004 estimates themselves; (2) fully-loaded hourly rates by location, and an error-cost baseline, still needed from Finance to convert confirmed hours into Current cost of operation; (3) the UC-024 effort figure was materially revised in this update – see its section for the change and confirm it's now the agreed number. A checklist covering exactly these items is included at the end of this document. Build effort remains indicative T-shirt sizing for planning discussion, not a committed estimate.</w:t>
            </w:r>
          </w:p>
        </w:tc>
      </w:tr>
    </w:tbl>
    <w:p>
      <w:pPr>
        <w:sectPr>
          <w:footerReference w:type="default" r:id="rId7"/>
          <w:pgSz w:w="12240" w:h="15840" w:orient="portrait"/>
          <w:pgMar w:top="900" w:right="1080" w:bottom="900" w:left="1080" w:header="708" w:footer="450" w:gutter="0"/>
          <w:pgNumType/>
          <w:docGrid w:linePitch="360"/>
        </w:sectPr>
      </w:pPr>
    </w:p>
    <w:p>
      <w:pPr>
        <w:spacing w:after="160" w:before="260"/>
      </w:pPr>
      <w:r>
        <w:rPr>
          <w:rFonts w:ascii="Arial" w:cs="Arial" w:eastAsia="Arial" w:hAnsi="Arial"/>
          <w:b/>
          <w:bCs/>
          <w:color w:val="1F5F45"/>
          <w:sz w:val="30"/>
          <w:szCs w:val="30"/>
        </w:rPr>
        <w:t xml:space="preserve">Summary comparison – current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3168"/>
        <w:gridCol w:w="2880"/>
        <w:gridCol w:w="2160"/>
        <w:gridCol w:w="4320"/>
      </w:tblGrid>
      <w:tr>
        <w:trPr>
          <w:cantSplit/>
        </w:trPr>
        <w:tc>
          <w:tcPr>
            <w:tcW w:type="pct" w:w="13%"/>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Use case</w:t>
            </w:r>
          </w:p>
        </w:tc>
        <w:tc>
          <w:tcPr>
            <w:tcW w:type="pct" w:w="22%"/>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Effort (manual)</w:t>
            </w:r>
          </w:p>
        </w:tc>
        <w:tc>
          <w:tcPr>
            <w:tcW w:type="pct" w:w="20%"/>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Volume</w:t>
            </w:r>
          </w:p>
        </w:tc>
        <w:tc>
          <w:tcPr>
            <w:tcW w:type="pct" w:w="15%"/>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Current cost</w:t>
            </w:r>
          </w:p>
        </w:tc>
        <w:tc>
          <w:tcPr>
            <w:tcW w:type="pct" w:w="30%"/>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Key automation risk</w:t>
            </w:r>
          </w:p>
        </w:tc>
      </w:tr>
      <w:tr>
        <w:trPr>
          <w:cantSplit/>
        </w:trPr>
        <w:tc>
          <w:tcPr>
            <w:tcW w:type="pct" w:w="13%"/>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UC-024
FTE Calculations</w:t>
            </w:r>
          </w:p>
        </w:tc>
        <w:tc>
          <w:tcPr>
            <w:tcW w:type="pct" w:w="22%"/>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Quarterly consolidation: 2 working days + macro. Daily/monthly tracking effort not quantified.</w:t>
            </w:r>
          </w:p>
        </w:tc>
        <w:tc>
          <w:tcPr>
            <w:tcW w:type="pct" w:w="2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Monthly governance reporting (12/year) + quarterly 3-location consolidation (4/year) across Warsaw, Chennai and Ireland.</w:t>
            </w:r>
          </w:p>
        </w:tc>
        <w:tc>
          <w:tcPr>
            <w:tcW w:type="pct" w:w="15%"/>
            <w:tcBorders>
              <w:top w:val="single" w:color="D8DED8" w:sz="4"/>
              <w:left w:val="single" w:color="D8DED8" w:sz="4"/>
              <w:bottom w:val="single" w:color="D8DED8" w:sz="4"/>
              <w:right w:val="single" w:color="D8DED8" w:sz="4"/>
            </w:tcBorders>
            <w:shd w:fill="FBF0EC" w:val="clear"/>
            <w:tcMar>
              <w:top w:type="dxa" w:w="100"/>
              <w:left w:type="dxa" w:w="110"/>
              <w:bottom w:type="dxa" w:w="100"/>
              <w:right w:type="dxa" w:w="110"/>
            </w:tcMar>
          </w:tcPr>
          <w:p>
            <w:r>
              <w:rPr>
                <w:b w:val="false"/>
                <w:bCs w:val="false"/>
                <w:i/>
                <w:iCs/>
                <w:color w:val="50594F"/>
                <w:sz w:val="17"/>
                <w:szCs w:val="17"/>
              </w:rPr>
              <w:t xml:space="preserve">Data gap – rate needed</w:t>
            </w:r>
          </w:p>
        </w:tc>
        <w:tc>
          <w:tcPr>
            <w:tcW w:type="pct" w:w="3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Rule-capture risk – mapping logic is currently tacit knowledge.</w:t>
            </w:r>
          </w:p>
        </w:tc>
      </w:tr>
      <w:tr>
        <w:trPr>
          <w:cantSplit/>
        </w:trPr>
        <w:tc>
          <w:tcPr>
            <w:tcW w:type="pct" w:w="13%"/>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UC-022
Client Trade File Processing</w:t>
            </w:r>
          </w:p>
        </w:tc>
        <w:tc>
          <w:tcPr>
            <w:tcW w:type="pct" w:w="22%"/>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60 minutes / day (HK).</w:t>
            </w:r>
          </w:p>
        </w:tc>
        <w:tc>
          <w:tcPr>
            <w:tcW w:type="pct" w:w="2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15 trade files / week.</w:t>
            </w:r>
          </w:p>
        </w:tc>
        <w:tc>
          <w:tcPr>
            <w:tcW w:type="pct" w:w="15%"/>
            <w:tcBorders>
              <w:top w:val="single" w:color="D8DED8" w:sz="4"/>
              <w:left w:val="single" w:color="D8DED8" w:sz="4"/>
              <w:bottom w:val="single" w:color="D8DED8" w:sz="4"/>
              <w:right w:val="single" w:color="D8DED8" w:sz="4"/>
            </w:tcBorders>
            <w:shd w:fill="FBF0EC" w:val="clear"/>
            <w:tcMar>
              <w:top w:type="dxa" w:w="100"/>
              <w:left w:type="dxa" w:w="110"/>
              <w:bottom w:type="dxa" w:w="100"/>
              <w:right w:type="dxa" w:w="110"/>
            </w:tcMar>
          </w:tcPr>
          <w:p>
            <w:r>
              <w:rPr>
                <w:b w:val="false"/>
                <w:bCs w:val="false"/>
                <w:i/>
                <w:iCs/>
                <w:color w:val="50594F"/>
                <w:sz w:val="17"/>
                <w:szCs w:val="17"/>
              </w:rPr>
              <w:t xml:space="preserve">Data gap – rate needed</w:t>
            </w:r>
          </w:p>
        </w:tc>
        <w:tc>
          <w:tcPr>
            <w:tcW w:type="pct" w:w="3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Selection-logic risk – mitigated by the retained human release gate.</w:t>
            </w:r>
          </w:p>
        </w:tc>
      </w:tr>
      <w:tr>
        <w:trPr>
          <w:cantSplit/>
        </w:trPr>
        <w:tc>
          <w:tcPr>
            <w:tcW w:type="pct" w:w="13%"/>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UC-021
AI-Generated Security Callback Scripts</w:t>
            </w:r>
          </w:p>
        </w:tc>
        <w:tc>
          <w:tcPr>
            <w:tcW w:type="pct" w:w="22%"/>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About 15 minutes per call for question generation.</w:t>
            </w:r>
          </w:p>
        </w:tc>
        <w:tc>
          <w:tcPr>
            <w:tcW w:type="pct" w:w="2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1,020 / year – EMEA (Warsaw); 895 / year – APAC (HK); 55 / year – America. Total: 1,970 / year.</w:t>
            </w:r>
          </w:p>
        </w:tc>
        <w:tc>
          <w:tcPr>
            <w:tcW w:type="pct" w:w="15%"/>
            <w:tcBorders>
              <w:top w:val="single" w:color="D8DED8" w:sz="4"/>
              <w:left w:val="single" w:color="D8DED8" w:sz="4"/>
              <w:bottom w:val="single" w:color="D8DED8" w:sz="4"/>
              <w:right w:val="single" w:color="D8DED8" w:sz="4"/>
            </w:tcBorders>
            <w:shd w:fill="FBF0EC" w:val="clear"/>
            <w:tcMar>
              <w:top w:type="dxa" w:w="100"/>
              <w:left w:type="dxa" w:w="110"/>
              <w:bottom w:type="dxa" w:w="100"/>
              <w:right w:type="dxa" w:w="110"/>
            </w:tcMar>
          </w:tcPr>
          <w:p>
            <w:r>
              <w:rPr>
                <w:b w:val="false"/>
                <w:bCs w:val="false"/>
                <w:i/>
                <w:iCs/>
                <w:color w:val="50594F"/>
                <w:sz w:val="17"/>
                <w:szCs w:val="17"/>
              </w:rPr>
              <w:t xml:space="preserve">Data gap – rate needed</w:t>
            </w:r>
          </w:p>
        </w:tc>
        <w:tc>
          <w:tcPr>
            <w:tcW w:type="pct" w:w="3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Predictability risk – needs periodic quality audit of generated questions.</w:t>
            </w:r>
          </w:p>
        </w:tc>
      </w:tr>
      <w:tr>
        <w:trPr>
          <w:cantSplit/>
        </w:trPr>
        <w:tc>
          <w:tcPr>
            <w:tcW w:type="pct" w:w="13%"/>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UC-023
KYC Document Processing</w:t>
            </w:r>
          </w:p>
        </w:tc>
        <w:tc>
          <w:tcPr>
            <w:tcW w:type="pct" w:w="22%"/>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10 min / doc (GRID prep only)—see note below on unlabelled “10 secs/doc” figure.</w:t>
            </w:r>
          </w:p>
        </w:tc>
        <w:tc>
          <w:tcPr>
            <w:tcW w:type="pct" w:w="2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180 / month total – HK: 100, EMEA (Ireland/Poland): 60, America: 20.</w:t>
            </w:r>
          </w:p>
        </w:tc>
        <w:tc>
          <w:tcPr>
            <w:tcW w:type="pct" w:w="15%"/>
            <w:tcBorders>
              <w:top w:val="single" w:color="D8DED8" w:sz="4"/>
              <w:left w:val="single" w:color="D8DED8" w:sz="4"/>
              <w:bottom w:val="single" w:color="D8DED8" w:sz="4"/>
              <w:right w:val="single" w:color="D8DED8" w:sz="4"/>
            </w:tcBorders>
            <w:shd w:fill="FBF0EC" w:val="clear"/>
            <w:tcMar>
              <w:top w:type="dxa" w:w="100"/>
              <w:left w:type="dxa" w:w="110"/>
              <w:bottom w:type="dxa" w:w="100"/>
              <w:right w:type="dxa" w:w="110"/>
            </w:tcMar>
          </w:tcPr>
          <w:p>
            <w:r>
              <w:rPr>
                <w:b w:val="false"/>
                <w:bCs w:val="false"/>
                <w:i/>
                <w:iCs/>
                <w:color w:val="50594F"/>
                <w:sz w:val="17"/>
                <w:szCs w:val="17"/>
              </w:rPr>
              <w:t xml:space="preserve">Data gap – rate needed</w:t>
            </w:r>
          </w:p>
        </w:tc>
        <w:tc>
          <w:tcPr>
            <w:tcW w:type="pct" w:w="3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Extraction-error risk – highest data sensitivity of the five (KYC/AML).</w:t>
            </w:r>
          </w:p>
        </w:tc>
      </w:tr>
      <w:tr>
        <w:trPr>
          <w:cantSplit/>
        </w:trPr>
        <w:tc>
          <w:tcPr>
            <w:tcW w:type="pct" w:w="13%"/>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UC-004
Client Invoice Payment Processing</w:t>
            </w:r>
          </w:p>
        </w:tc>
        <w:tc>
          <w:tcPr>
            <w:tcW w:type="pct" w:w="22%"/>
            <w:tcBorders>
              <w:top w:val="single" w:color="D8DED8" w:sz="4"/>
              <w:left w:val="single" w:color="D8DED8" w:sz="4"/>
              <w:bottom w:val="single" w:color="D8DED8" w:sz="4"/>
              <w:right w:val="single" w:color="D8DED8" w:sz="4"/>
            </w:tcBorders>
            <w:shd w:fill="FBF0EC" w:val="clear"/>
            <w:tcMar>
              <w:top w:type="dxa" w:w="100"/>
              <w:left w:type="dxa" w:w="110"/>
              <w:bottom w:type="dxa" w:w="100"/>
              <w:right w:type="dxa" w:w="110"/>
            </w:tcMar>
          </w:tcPr>
          <w:p>
            <w:r>
              <w:rPr>
                <w:b w:val="false"/>
                <w:bCs w:val="false"/>
                <w:i/>
                <w:iCs/>
                <w:color w:val="50594F"/>
                <w:sz w:val="17"/>
                <w:szCs w:val="17"/>
              </w:rPr>
              <w:t xml:space="preserve">No estimates yet (confirmed)</w:t>
            </w:r>
          </w:p>
        </w:tc>
        <w:tc>
          <w:tcPr>
            <w:tcW w:type="pct" w:w="20%"/>
            <w:tcBorders>
              <w:top w:val="single" w:color="D8DED8" w:sz="4"/>
              <w:left w:val="single" w:color="D8DED8" w:sz="4"/>
              <w:bottom w:val="single" w:color="D8DED8" w:sz="4"/>
              <w:right w:val="single" w:color="D8DED8" w:sz="4"/>
            </w:tcBorders>
            <w:shd w:fill="FBF0EC" w:val="clear"/>
            <w:tcMar>
              <w:top w:type="dxa" w:w="100"/>
              <w:left w:type="dxa" w:w="110"/>
              <w:bottom w:type="dxa" w:w="100"/>
              <w:right w:type="dxa" w:w="110"/>
            </w:tcMar>
          </w:tcPr>
          <w:p>
            <w:r>
              <w:rPr>
                <w:b w:val="false"/>
                <w:bCs w:val="false"/>
                <w:i/>
                <w:iCs/>
                <w:color w:val="50594F"/>
                <w:sz w:val="17"/>
                <w:szCs w:val="17"/>
              </w:rPr>
              <w:t xml:space="preserve">No estimates yet (confirmed)</w:t>
            </w:r>
          </w:p>
        </w:tc>
        <w:tc>
          <w:tcPr>
            <w:tcW w:type="pct" w:w="15%"/>
            <w:tcBorders>
              <w:top w:val="single" w:color="D8DED8" w:sz="4"/>
              <w:left w:val="single" w:color="D8DED8" w:sz="4"/>
              <w:bottom w:val="single" w:color="D8DED8" w:sz="4"/>
              <w:right w:val="single" w:color="D8DED8" w:sz="4"/>
            </w:tcBorders>
            <w:shd w:fill="FBF0EC" w:val="clear"/>
            <w:tcMar>
              <w:top w:type="dxa" w:w="100"/>
              <w:left w:type="dxa" w:w="110"/>
              <w:bottom w:type="dxa" w:w="100"/>
              <w:right w:type="dxa" w:w="110"/>
            </w:tcMar>
          </w:tcPr>
          <w:p>
            <w:r>
              <w:rPr>
                <w:b w:val="false"/>
                <w:bCs w:val="false"/>
                <w:i/>
                <w:iCs/>
                <w:color w:val="50594F"/>
                <w:sz w:val="17"/>
                <w:szCs w:val="17"/>
              </w:rPr>
              <w:t xml:space="preserve">Data gap – rate needed</w:t>
            </w:r>
          </w:p>
        </w:tc>
        <w:tc>
          <w:tcPr>
            <w:tcW w:type="pct" w:w="3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Largest financial exposure – 4-eye review must stay a genuine control.</w:t>
            </w:r>
          </w:p>
        </w:tc>
      </w:tr>
    </w:tbl>
    <w:p>
      <w:pPr>
        <w:spacing w:after="260" w:before="100"/>
      </w:pPr>
      <w:r>
        <w:rPr>
          <w:i/>
          <w:iCs/>
          <w:color w:val="50594F"/>
          <w:sz w:val="18"/>
          <w:szCs w:val="18"/>
        </w:rPr>
        <w:t xml:space="preserve">Effort and Volume confirmed by process owners for UC-024, UC-022, UC-021 and UC-023 (20–25 Aug 2026 notes). Current cost still needs a fully-loaded hourly rate from Finance. UC-004 has been explicitly confirmed as “No Estimates Yet”, rather than a missing page – see the checklist on the final page.</w:t>
      </w:r>
    </w:p>
    <w:p>
      <w:pPr>
        <w:spacing w:after="160" w:before="260"/>
      </w:pPr>
      <w:r>
        <w:rPr>
          <w:rFonts w:ascii="Arial" w:cs="Arial" w:eastAsia="Arial" w:hAnsi="Arial"/>
          <w:b/>
          <w:bCs/>
          <w:color w:val="1F5F45"/>
          <w:sz w:val="30"/>
          <w:szCs w:val="30"/>
        </w:rPr>
        <w:t xml:space="preserve">Summary comparison – build effort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28"/>
        <w:gridCol w:w="2160"/>
        <w:gridCol w:w="2160"/>
        <w:gridCol w:w="2160"/>
        <w:gridCol w:w="2160"/>
        <w:gridCol w:w="1440"/>
        <w:gridCol w:w="2592"/>
      </w:tblGrid>
      <w:tr>
        <w:trPr>
          <w:cantSplit/>
        </w:trPr>
        <w:tc>
          <w:tcPr>
            <w:tcW w:type="pct" w:w="12%"/>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Use case</w:t>
            </w:r>
          </w:p>
        </w:tc>
        <w:tc>
          <w:tcPr>
            <w:tcW w:type="pct" w:w="15%"/>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Governance effort</w:t>
            </w:r>
          </w:p>
        </w:tc>
        <w:tc>
          <w:tcPr>
            <w:tcW w:type="pct" w:w="15%"/>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Infra setup</w:t>
            </w:r>
          </w:p>
        </w:tc>
        <w:tc>
          <w:tcPr>
            <w:tcW w:type="pct" w:w="15%"/>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Development effort</w:t>
            </w:r>
          </w:p>
        </w:tc>
        <w:tc>
          <w:tcPr>
            <w:tcW w:type="pct" w:w="15%"/>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QA</w:t>
            </w:r>
          </w:p>
        </w:tc>
        <w:tc>
          <w:tcPr>
            <w:tcW w:type="pct" w:w="10%"/>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Overall</w:t>
            </w:r>
          </w:p>
        </w:tc>
        <w:tc>
          <w:tcPr>
            <w:tcW w:type="pct" w:w="18%"/>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IT governance</w:t>
            </w:r>
          </w:p>
        </w:tc>
      </w:tr>
      <w:tr>
        <w:trPr>
          <w:cantSplit/>
        </w:trPr>
        <w:tc>
          <w:tcPr>
            <w:tcW w:type="pct" w:w="12%"/>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UC-024
FTE Calculations</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None</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Small</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Small</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Small</w:t>
            </w:r>
          </w:p>
        </w:tc>
        <w:tc>
          <w:tcPr>
            <w:tcW w:type="pct" w:w="1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Small</w:t>
            </w:r>
          </w:p>
        </w:tc>
        <w:tc>
          <w:tcPr>
            <w:tcW w:type="pct" w:w="18%"/>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No IT Governance needed</w:t>
            </w:r>
          </w:p>
        </w:tc>
      </w:tr>
      <w:tr>
        <w:trPr>
          <w:cantSplit/>
        </w:trPr>
        <w:tc>
          <w:tcPr>
            <w:tcW w:type="pct" w:w="12%"/>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UC-022
Client Trade File Processing</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Small</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Medium</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Medium</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Medium</w:t>
            </w:r>
          </w:p>
        </w:tc>
        <w:tc>
          <w:tcPr>
            <w:tcW w:type="pct" w:w="1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Medium</w:t>
            </w:r>
          </w:p>
        </w:tc>
        <w:tc>
          <w:tcPr>
            <w:tcW w:type="pct" w:w="18%"/>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ITSVC needed</w:t>
            </w:r>
          </w:p>
        </w:tc>
      </w:tr>
      <w:tr>
        <w:trPr>
          <w:cantSplit/>
        </w:trPr>
        <w:tc>
          <w:tcPr>
            <w:tcW w:type="pct" w:w="12%"/>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UC-021
AI-Generated Security Callback Scripts</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Medium</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Small</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Medium</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Medium</w:t>
            </w:r>
          </w:p>
        </w:tc>
        <w:tc>
          <w:tcPr>
            <w:tcW w:type="pct" w:w="1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Medium</w:t>
            </w:r>
          </w:p>
        </w:tc>
        <w:tc>
          <w:tcPr>
            <w:tcW w:type="pct" w:w="18%"/>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Single AI Governance + ITSVC</w:t>
            </w:r>
          </w:p>
        </w:tc>
      </w:tr>
      <w:tr>
        <w:trPr>
          <w:cantSplit/>
        </w:trPr>
        <w:tc>
          <w:tcPr>
            <w:tcW w:type="pct" w:w="12%"/>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UC-023
KYC Document Processing</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Medium</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Medium</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Medium</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Medium–Large</w:t>
            </w:r>
          </w:p>
        </w:tc>
        <w:tc>
          <w:tcPr>
            <w:tcW w:type="pct" w:w="1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Medium</w:t>
            </w:r>
          </w:p>
        </w:tc>
        <w:tc>
          <w:tcPr>
            <w:tcW w:type="pct" w:w="18%"/>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Single AI Governance + ITSVC</w:t>
            </w:r>
          </w:p>
        </w:tc>
      </w:tr>
      <w:tr>
        <w:trPr>
          <w:cantSplit/>
        </w:trPr>
        <w:tc>
          <w:tcPr>
            <w:tcW w:type="pct" w:w="12%"/>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UC-004
Client Invoice Payment Processing</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Large</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Large</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Large</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Large</w:t>
            </w:r>
          </w:p>
        </w:tc>
        <w:tc>
          <w:tcPr>
            <w:tcW w:type="pct" w:w="1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Large</w:t>
            </w:r>
          </w:p>
        </w:tc>
        <w:tc>
          <w:tcPr>
            <w:tcW w:type="pct" w:w="18%"/>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Single AI Governance + ITSVC</w:t>
            </w:r>
          </w:p>
        </w:tc>
      </w:tr>
    </w:tbl>
    <w:p>
      <w:pPr>
        <w:spacing w:before="100"/>
      </w:pPr>
      <w:r>
        <w:rPr>
          <w:i/>
          <w:iCs/>
          <w:color w:val="50594F"/>
          <w:sz w:val="18"/>
          <w:szCs w:val="18"/>
        </w:rPr>
        <w:t xml:space="preserve">Governance effort, Infra setup, Development effort and QA are directional T-shirt sizes for planning discussion, not committed estimates – see each use case's own section for the rationale behind its sizing.</w:t>
      </w:r>
    </w:p>
    <w:p>
      <w:pPr>
        <w:sectPr>
          <w:footerReference w:type="default" r:id="rId8"/>
          <w:pgSz w:w="12240" w:h="15840" w:orient="landscape"/>
          <w:pgMar w:top="720" w:right="720" w:bottom="720" w:left="720" w:header="708" w:footer="360" w:gutter="0"/>
          <w:pgNumType/>
          <w:docGrid w:linePitch="360"/>
        </w:sectPr>
      </w:pPr>
    </w:p>
    <w:p>
      <w:pPr>
        <w:spacing w:after="160" w:before="260"/>
      </w:pPr>
      <w:r>
        <w:rPr>
          <w:rFonts w:ascii="Arial" w:cs="Arial" w:eastAsia="Arial" w:hAnsi="Arial"/>
          <w:b/>
          <w:bCs/>
          <w:color w:val="1F5F45"/>
          <w:sz w:val="30"/>
          <w:szCs w:val="30"/>
        </w:rPr>
        <w:t xml:space="preserve">UC-024 – FTE Calculations</w:t>
      </w:r>
    </w:p>
    <w:p>
      <w:pPr>
        <w:spacing w:after="160"/>
      </w:pPr>
      <w:r>
        <w:rPr>
          <w:i/>
          <w:iCs/>
          <w:color w:val="50594F"/>
          <w:sz w:val="19"/>
          <w:szCs w:val="19"/>
        </w:rPr>
        <w:t xml:space="preserve">TA Operations   ·   Owner: Kate McDermott   ·   Portfolio tier: Quick Win</w:t>
      </w:r>
    </w:p>
    <w:p>
      <w:pPr>
        <w:spacing w:after="50" w:before="120"/>
      </w:pPr>
      <w:r>
        <w:rPr>
          <w:b/>
          <w:bCs/>
          <w:color w:val="B98A2E"/>
          <w:sz w:val="19"/>
          <w:szCs w:val="19"/>
        </w:rPr>
        <w:t xml:space="preserve">EFFORT TAKEN NOW (MANUAL)</w:t>
      </w:r>
    </w:p>
    <w:p>
      <w:pPr>
        <w:pStyle w:val="ListParagraph"/>
        <w:numPr>
          <w:ilvl w:val="0"/>
          <w:numId w:val="1"/>
        </w:numPr>
        <w:spacing w:after="60"/>
      </w:pPr>
      <w:r>
        <w:rPr>
          <w:color w:val="1F2B24"/>
          <w:sz w:val="21"/>
          <w:szCs w:val="21"/>
        </w:rPr>
        <w:t xml:space="preserve">Trade FTE is tracked manually every day as trades are entered; monthly governance reporting is produced from that daily input.</w:t>
      </w:r>
    </w:p>
    <w:p>
      <w:pPr>
        <w:pStyle w:val="ListParagraph"/>
        <w:numPr>
          <w:ilvl w:val="0"/>
          <w:numId w:val="1"/>
        </w:numPr>
        <w:spacing w:after="60"/>
      </w:pPr>
      <w:r>
        <w:rPr>
          <w:color w:val="1F2B24"/>
          <w:sz w:val="21"/>
          <w:szCs w:val="21"/>
        </w:rPr>
        <w:t xml:space="preserve">A quarterly 3-location consolidation combines FTE across Warsaw, Chennai and Ireland (per client, team and location) using a macro.</w:t>
      </w:r>
    </w:p>
    <w:p>
      <w:pPr>
        <w:pStyle w:val="ListParagraph"/>
        <w:numPr>
          <w:ilvl w:val="0"/>
          <w:numId w:val="1"/>
        </w:numPr>
        <w:spacing w:after="60"/>
      </w:pPr>
      <w:r>
        <w:rPr>
          <w:color w:val="1F2B24"/>
          <w:sz w:val="21"/>
          <w:szCs w:val="21"/>
        </w:rPr>
        <w:t xml:space="preserve">The quarterly consolidation is frequently challenged, causing extra meetings and delayed reporting.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Confirmed by process owner: Quarterly consolidation confirmed at 2 working days per occurrence, using a macro. Daily/monthly effort to pull the Warsaw &amp; Chennai figures is described but not quantified in hours.</w:t>
            </w:r>
          </w:p>
        </w:tc>
      </w:tr>
    </w:tbl>
    <w:p>
      <w:pPr>
        <w:spacing w:after="50" w:before="120"/>
      </w:pPr>
      <w:r>
        <w:rPr>
          <w:b/>
          <w:bCs/>
          <w:color w:val="B98A2E"/>
          <w:sz w:val="19"/>
          <w:szCs w:val="19"/>
        </w:rPr>
        <w:t xml:space="preserve">VOLUME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Confirmed by process owner: Monthly governance reporting (12/year) + quarterly 3-location consolidation (4/year) across Warsaw, Chennai and Ireland.</w:t>
            </w:r>
          </w:p>
        </w:tc>
      </w:tr>
    </w:tbl>
    <w:p>
      <w:pPr>
        <w:spacing w:after="50" w:before="120"/>
      </w:pPr>
      <w:r>
        <w:rPr>
          <w:b/>
          <w:bCs/>
          <w:color w:val="B98A2E"/>
          <w:sz w:val="19"/>
          <w:szCs w:val="19"/>
        </w:rPr>
        <w:t xml:space="preserve">DERIVED ANNUAL EFFORT</w:t>
      </w:r>
    </w:p>
    <w:p>
      <w:pPr>
        <w:spacing w:after="110"/>
      </w:pPr>
      <w:r>
        <w:rPr>
          <w:color w:val="1F2B24"/>
          <w:sz w:val="21"/>
          <w:szCs w:val="21"/>
        </w:rPr>
        <w:t xml:space="preserve">Quarterly consolidation only: 2 person-days × 4 = 8 person-days / year. Excludes the daily tracking and monthly reporting effort, which is described but not quantified.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Refreshed 20 Aug 2026 with fuller detail (three locations, daily/monthly/quarterly cadence) that replaces the earlier “7 days Warsaw + 7 days Dublin, monthly” note – confirm with the process owner which figure is now agreed.</w:t>
            </w:r>
          </w:p>
        </w:tc>
      </w:tr>
    </w:tbl>
    <w:p>
      <w:pPr>
        <w:spacing w:after="50" w:before="120"/>
      </w:pPr>
      <w:r>
        <w:rPr>
          <w:b/>
          <w:bCs/>
          <w:color w:val="B98A2E"/>
          <w:sz w:val="19"/>
          <w:szCs w:val="19"/>
        </w:rPr>
        <w:t xml:space="preserve">CURRENT-STATE RISK (WHY AUTOMATE)</w:t>
      </w:r>
    </w:p>
    <w:p>
      <w:pPr>
        <w:spacing w:after="110"/>
      </w:pPr>
      <w:r>
        <w:rPr>
          <w:color w:val="1F2B24"/>
          <w:sz w:val="21"/>
          <w:szCs w:val="21"/>
        </w:rPr>
        <w:t xml:space="preserve">Main risk: wrong calculations if done manually, since it is done over multiple Excel extracts with inconsistent naming conventions across teams. Automating would also enable global FTE tracking (currently EMEA-only) and could extend to monthly MI and other internal reporting.</w:t>
      </w:r>
    </w:p>
    <w:p>
      <w:pPr>
        <w:spacing w:after="50" w:before="120"/>
      </w:pPr>
      <w:r>
        <w:rPr>
          <w:b/>
          <w:bCs/>
          <w:color w:val="B98A2E"/>
          <w:sz w:val="19"/>
          <w:szCs w:val="19"/>
        </w:rPr>
        <w:t xml:space="preserve">CURRENT COST OF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AD5A3E" w:sz="4"/>
              <w:left w:val="single" w:color="AD5A3E" w:sz="16"/>
              <w:bottom w:val="single" w:color="AD5A3E" w:sz="4"/>
              <w:right w:val="single" w:color="AD5A3E" w:sz="4"/>
            </w:tcBorders>
            <w:shd w:fill="FBF0EC" w:val="clear"/>
            <w:tcMar>
              <w:top w:type="dxa" w:w="90"/>
              <w:left w:type="dxa" w:w="160"/>
              <w:bottom w:type="dxa" w:w="90"/>
              <w:right w:type="dxa" w:w="160"/>
            </w:tcMar>
          </w:tcPr>
          <w:p>
            <w:pPr>
              <w:spacing w:after="40"/>
            </w:pPr>
            <w:r>
              <w:rPr>
                <w:b/>
                <w:bCs/>
                <w:color w:val="AD5A3E"/>
                <w:sz w:val="18"/>
                <w:szCs w:val="18"/>
              </w:rPr>
              <w:t xml:space="preserve">DATA GAP</w:t>
            </w:r>
          </w:p>
          <w:p>
            <w:r>
              <w:rPr>
                <w:color w:val="1F2B24"/>
                <w:sz w:val="20"/>
                <w:szCs w:val="20"/>
              </w:rPr>
              <w:t xml:space="preserve">Cost = 8 person-days/year (quarterly consolidation) × blended Warsaw/Chennai/Ireland day-rate, plus the unquantified daily/monthly effort. Three locations are now in scope (previously two), so regional rates and the missing time figure are both needed. Fully-loaded hourly/day rates by location still needed from Finance to complete this.</w:t>
            </w:r>
          </w:p>
        </w:tc>
      </w:tr>
    </w:tbl>
    <w:p>
      <w:pPr>
        <w:spacing w:after="50" w:before="120"/>
      </w:pPr>
      <w:r>
        <w:rPr>
          <w:b/>
          <w:bCs/>
          <w:color w:val="B98A2E"/>
          <w:sz w:val="19"/>
          <w:szCs w:val="19"/>
        </w:rPr>
        <w:t xml:space="preserve">RESIDUAL RISKS TO MANAGE (POST-AUTOMATION)</w:t>
      </w:r>
    </w:p>
    <w:p>
      <w:pPr>
        <w:pStyle w:val="ListParagraph"/>
        <w:numPr>
          <w:ilvl w:val="0"/>
          <w:numId w:val="1"/>
        </w:numPr>
        <w:spacing w:after="60"/>
      </w:pPr>
      <w:r>
        <w:rPr>
          <w:color w:val="1F2B24"/>
          <w:sz w:val="21"/>
          <w:szCs w:val="21"/>
        </w:rPr>
        <w:t xml:space="preserve">Rule-capture risk – the mapping logic currently exists as tacit knowledge; an incorrect rule could misstate FTE consistently across every fund until caught.</w:t>
      </w:r>
    </w:p>
    <w:p>
      <w:pPr>
        <w:pStyle w:val="ListParagraph"/>
        <w:numPr>
          <w:ilvl w:val="0"/>
          <w:numId w:val="1"/>
        </w:numPr>
        <w:spacing w:after="60"/>
      </w:pPr>
      <w:r>
        <w:rPr>
          <w:color w:val="1F2B24"/>
          <w:sz w:val="21"/>
          <w:szCs w:val="21"/>
        </w:rPr>
        <w:t xml:space="preserve">Format drift – if the NTAS extract layout changes, a silent failure could produce a wrong number rather than an obvious error; needs schema validation on ingest.</w:t>
      </w:r>
    </w:p>
    <w:p>
      <w:pPr>
        <w:pStyle w:val="ListParagraph"/>
        <w:numPr>
          <w:ilvl w:val="0"/>
          <w:numId w:val="1"/>
        </w:numPr>
        <w:spacing w:after="60"/>
      </w:pPr>
      <w:r>
        <w:rPr>
          <w:color w:val="1F2B24"/>
          <w:sz w:val="21"/>
          <w:szCs w:val="21"/>
        </w:rPr>
        <w:t xml:space="preserve">Low model risk – this is fundamentally deterministic/rule-based, not LLM extraction, so the main exposure is requirements accuracy, not hallucination.</w:t>
      </w:r>
    </w:p>
    <w:p>
      <w:pPr>
        <w:spacing w:after="50" w:before="120"/>
      </w:pPr>
      <w:r>
        <w:rPr>
          <w:b/>
          <w:bCs/>
          <w:color w:val="B98A2E"/>
          <w:sz w:val="19"/>
          <w:szCs w:val="19"/>
        </w:rPr>
        <w:t xml:space="preserve">INDICATIVE EFFORT TO BUILD</w:t>
      </w:r>
    </w:p>
    <w:p>
      <w:pPr>
        <w:spacing w:after="80"/>
      </w:pPr>
      <w:r>
        <w:rPr>
          <w:b/>
          <w:bCs/>
          <w:color w:val="B98A2E"/>
          <w:sz w:val="26"/>
          <w:szCs w:val="26"/>
        </w:rPr>
        <w:t xml:space="preserve">Small overall</w:t>
      </w:r>
    </w:p>
    <w:p>
      <w:pPr>
        <w:spacing w:after="110"/>
      </w:pPr>
      <w:r>
        <w:rPr>
          <w:color w:val="1F2B24"/>
          <w:sz w:val="21"/>
          <w:szCs w:val="21"/>
        </w:rPr>
        <w:t xml:space="preserve">Internal calculation only, no external system writes, no document extraction. No dependency on the shared LLM integration layer. Scope now confirmed across three locations (Warsaw, Chennai, Ireland) rather than two, but this remains a self-contained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rPr>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Governance</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Infra setup</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Development</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QA</w:t>
            </w:r>
          </w:p>
        </w:tc>
      </w:tr>
      <w:tr>
        <w:trPr>
          <w:cantSplit/>
        </w:trPr>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None</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Small</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Small</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Small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Directional sizing for planning discussion, not a committed estimate – confirm with a formal estimation session before this figure is used in a budget ask.</w:t>
            </w:r>
          </w:p>
        </w:tc>
      </w:tr>
    </w:tbl>
    <w:p>
      <w:pPr>
        <w:pageBreakBefore/>
        <w:spacing w:after="160" w:before="260"/>
      </w:pPr>
      <w:r>
        <w:rPr>
          <w:rFonts w:ascii="Arial" w:cs="Arial" w:eastAsia="Arial" w:hAnsi="Arial"/>
          <w:b/>
          <w:bCs/>
          <w:color w:val="1F5F45"/>
          <w:sz w:val="30"/>
          <w:szCs w:val="30"/>
        </w:rPr>
        <w:t xml:space="preserve">UC-022 – Client Trade File Processing</w:t>
      </w:r>
    </w:p>
    <w:p>
      <w:pPr>
        <w:spacing w:after="160"/>
      </w:pPr>
      <w:r>
        <w:rPr>
          <w:i/>
          <w:iCs/>
          <w:color w:val="50594F"/>
          <w:sz w:val="19"/>
          <w:szCs w:val="19"/>
        </w:rPr>
        <w:t xml:space="preserve">FA / MO Operations   ·   Owner: Ruairi Scullion   ·   Portfolio tier: Quick Win</w:t>
      </w:r>
    </w:p>
    <w:p>
      <w:pPr>
        <w:spacing w:after="50" w:before="120"/>
      </w:pPr>
      <w:r>
        <w:rPr>
          <w:b/>
          <w:bCs/>
          <w:color w:val="B98A2E"/>
          <w:sz w:val="19"/>
          <w:szCs w:val="19"/>
        </w:rPr>
        <w:t xml:space="preserve">EFFORT TAKEN NOW (MANUAL)</w:t>
      </w:r>
    </w:p>
    <w:p>
      <w:pPr>
        <w:pStyle w:val="ListParagraph"/>
        <w:numPr>
          <w:ilvl w:val="0"/>
          <w:numId w:val="1"/>
        </w:numPr>
        <w:spacing w:after="60"/>
      </w:pPr>
      <w:r>
        <w:rPr>
          <w:color w:val="1F2B24"/>
          <w:sz w:val="21"/>
          <w:szCs w:val="21"/>
        </w:rPr>
        <w:t xml:space="preserve">The SFTP site is checked manually and periodically through the day for new Client Trade Files (CSV format).</w:t>
      </w:r>
    </w:p>
    <w:p>
      <w:pPr>
        <w:pStyle w:val="ListParagraph"/>
        <w:numPr>
          <w:ilvl w:val="0"/>
          <w:numId w:val="1"/>
        </w:numPr>
        <w:spacing w:after="60"/>
      </w:pPr>
      <w:r>
        <w:rPr>
          <w:color w:val="1F2B24"/>
          <w:sz w:val="21"/>
          <w:szCs w:val="21"/>
        </w:rPr>
        <w:t xml:space="preserve">Relevant trade rows are identified manually against two criteria (BNP Custody entity code and transaction type), then copied into a macro (“UG Format Macro v11”).</w:t>
      </w:r>
    </w:p>
    <w:p>
      <w:pPr>
        <w:pStyle w:val="ListParagraph"/>
        <w:numPr>
          <w:ilvl w:val="0"/>
          <w:numId w:val="1"/>
        </w:numPr>
        <w:spacing w:after="60"/>
      </w:pPr>
      <w:r>
        <w:rPr>
          <w:color w:val="1F2B24"/>
          <w:sz w:val="21"/>
          <w:szCs w:val="21"/>
        </w:rPr>
        <w:t xml:space="preserve">The macro reformats the trade file into the Neolink upload format.</w:t>
      </w:r>
    </w:p>
    <w:p>
      <w:pPr>
        <w:pStyle w:val="ListParagraph"/>
        <w:numPr>
          <w:ilvl w:val="0"/>
          <w:numId w:val="1"/>
        </w:numPr>
        <w:spacing w:after="60"/>
      </w:pPr>
      <w:r>
        <w:rPr>
          <w:color w:val="1F2B24"/>
          <w:sz w:val="21"/>
          <w:szCs w:val="21"/>
        </w:rPr>
        <w:t xml:space="preserve">The team manually logs into Neolink, uploads the reformatted file, and a reviewer releases the trades to market.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Confirmed by process owner: 60 minutes / day (HK).</w:t>
            </w:r>
          </w:p>
        </w:tc>
      </w:tr>
    </w:tbl>
    <w:p>
      <w:pPr>
        <w:spacing w:after="50" w:before="120"/>
      </w:pPr>
      <w:r>
        <w:rPr>
          <w:b/>
          <w:bCs/>
          <w:color w:val="B98A2E"/>
          <w:sz w:val="19"/>
          <w:szCs w:val="19"/>
        </w:rPr>
        <w:t xml:space="preserve">VOLUME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Confirmed by process owner: 15 trade files / week.</w:t>
            </w:r>
          </w:p>
        </w:tc>
      </w:tr>
    </w:tbl>
    <w:p>
      <w:pPr>
        <w:spacing w:after="50" w:before="120"/>
      </w:pPr>
      <w:r>
        <w:rPr>
          <w:b/>
          <w:bCs/>
          <w:color w:val="B98A2E"/>
          <w:sz w:val="19"/>
          <w:szCs w:val="19"/>
        </w:rPr>
        <w:t xml:space="preserve">DERIVED ANNUAL EFFORT</w:t>
      </w:r>
    </w:p>
    <w:p>
      <w:pPr>
        <w:spacing w:after="110"/>
      </w:pPr>
      <w:r>
        <w:rPr>
          <w:color w:val="1F2B24"/>
          <w:sz w:val="21"/>
          <w:szCs w:val="21"/>
        </w:rPr>
        <w:t xml:space="preserve">60 min/day × ~252 working days/year (5-day week, allowing for holidays) ≈ 252 hours / year.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Assumes a working-day count of ~252/year – confirm with the team if actual coverage differs.</w:t>
            </w:r>
          </w:p>
        </w:tc>
      </w:tr>
    </w:tbl>
    <w:p>
      <w:pPr>
        <w:spacing w:after="50" w:before="120"/>
      </w:pPr>
      <w:r>
        <w:rPr>
          <w:b/>
          <w:bCs/>
          <w:color w:val="B98A2E"/>
          <w:sz w:val="19"/>
          <w:szCs w:val="19"/>
        </w:rPr>
        <w:t xml:space="preserve">CURRENT-STATE RISK (WHY AUTOMATE)</w:t>
      </w:r>
    </w:p>
    <w:p>
      <w:pPr>
        <w:spacing w:after="110"/>
      </w:pPr>
      <w:r>
        <w:rPr>
          <w:color w:val="1F2B24"/>
          <w:sz w:val="21"/>
          <w:szCs w:val="21"/>
        </w:rPr>
        <w:t xml:space="preserve">Final release to market is done by a human, so the 4-eye check (human in the loop) is done there.</w:t>
      </w:r>
    </w:p>
    <w:p>
      <w:pPr>
        <w:spacing w:after="50" w:before="120"/>
      </w:pPr>
      <w:r>
        <w:rPr>
          <w:b/>
          <w:bCs/>
          <w:color w:val="B98A2E"/>
          <w:sz w:val="19"/>
          <w:szCs w:val="19"/>
        </w:rPr>
        <w:t xml:space="preserve">CURRENT COST OF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AD5A3E" w:sz="4"/>
              <w:left w:val="single" w:color="AD5A3E" w:sz="16"/>
              <w:bottom w:val="single" w:color="AD5A3E" w:sz="4"/>
              <w:right w:val="single" w:color="AD5A3E" w:sz="4"/>
            </w:tcBorders>
            <w:shd w:fill="FBF0EC" w:val="clear"/>
            <w:tcMar>
              <w:top w:type="dxa" w:w="90"/>
              <w:left w:type="dxa" w:w="160"/>
              <w:bottom w:type="dxa" w:w="90"/>
              <w:right w:type="dxa" w:w="160"/>
            </w:tcMar>
          </w:tcPr>
          <w:p>
            <w:pPr>
              <w:spacing w:after="40"/>
            </w:pPr>
            <w:r>
              <w:rPr>
                <w:b/>
                <w:bCs/>
                <w:color w:val="AD5A3E"/>
                <w:sz w:val="18"/>
                <w:szCs w:val="18"/>
              </w:rPr>
              <w:t xml:space="preserve">DATA GAP</w:t>
            </w:r>
          </w:p>
          <w:p>
            <w:r>
              <w:rPr>
                <w:color w:val="1F2B24"/>
                <w:sz w:val="20"/>
                <w:szCs w:val="20"/>
              </w:rPr>
              <w:t xml:space="preserve">Cost = 252 hours/year × HK fully-loaded hourly rate. Fully-loaded hourly/day rates by location still needed from Finance to complete this.</w:t>
            </w:r>
          </w:p>
        </w:tc>
      </w:tr>
    </w:tbl>
    <w:p>
      <w:pPr>
        <w:spacing w:after="50" w:before="120"/>
      </w:pPr>
      <w:r>
        <w:rPr>
          <w:b/>
          <w:bCs/>
          <w:color w:val="B98A2E"/>
          <w:sz w:val="19"/>
          <w:szCs w:val="19"/>
        </w:rPr>
        <w:t xml:space="preserve">RESIDUAL RISKS TO MANAGE (POST-AUTOMATION)</w:t>
      </w:r>
    </w:p>
    <w:p>
      <w:pPr>
        <w:pStyle w:val="ListParagraph"/>
        <w:numPr>
          <w:ilvl w:val="0"/>
          <w:numId w:val="1"/>
        </w:numPr>
        <w:spacing w:after="60"/>
      </w:pPr>
      <w:r>
        <w:rPr>
          <w:color w:val="1F2B24"/>
          <w:sz w:val="21"/>
          <w:szCs w:val="21"/>
        </w:rPr>
        <w:t xml:space="preserve">Selection-logic risk – incorrect rule-based trade-line selection could push bad data into Neolink; mitigated by keeping the final human review/release gate.</w:t>
      </w:r>
    </w:p>
    <w:p>
      <w:pPr>
        <w:pStyle w:val="ListParagraph"/>
        <w:numPr>
          <w:ilvl w:val="0"/>
          <w:numId w:val="1"/>
        </w:numPr>
        <w:spacing w:after="60"/>
      </w:pPr>
      <w:r>
        <w:rPr>
          <w:color w:val="1F2B24"/>
          <w:sz w:val="21"/>
          <w:szCs w:val="21"/>
        </w:rPr>
        <w:t xml:space="preserve">Silent failure risk – client-side file format drift breaking the parser needs active monitoring/alerting, not a silent skip.</w:t>
      </w:r>
    </w:p>
    <w:p>
      <w:pPr>
        <w:pStyle w:val="ListParagraph"/>
        <w:numPr>
          <w:ilvl w:val="0"/>
          <w:numId w:val="1"/>
        </w:numPr>
        <w:spacing w:after="60"/>
      </w:pPr>
      <w:r>
        <w:rPr>
          <w:color w:val="1F2B24"/>
          <w:sz w:val="21"/>
          <w:szCs w:val="21"/>
        </w:rPr>
        <w:t xml:space="preserve">Notification failure – if the completion email fails to send, files could sit unreviewed and unnoticed; needs a dead-letter / monitoring path.</w:t>
      </w:r>
    </w:p>
    <w:p>
      <w:pPr>
        <w:spacing w:after="50" w:before="120"/>
      </w:pPr>
      <w:r>
        <w:rPr>
          <w:b/>
          <w:bCs/>
          <w:color w:val="B98A2E"/>
          <w:sz w:val="19"/>
          <w:szCs w:val="19"/>
        </w:rPr>
        <w:t xml:space="preserve">INDICATIVE EFFORT TO BUILD</w:t>
      </w:r>
    </w:p>
    <w:p>
      <w:pPr>
        <w:spacing w:after="80"/>
      </w:pPr>
      <w:r>
        <w:rPr>
          <w:b/>
          <w:bCs/>
          <w:color w:val="B98A2E"/>
          <w:sz w:val="26"/>
          <w:szCs w:val="26"/>
        </w:rPr>
        <w:t xml:space="preserve">Medium overall</w:t>
      </w:r>
    </w:p>
    <w:p>
      <w:pPr>
        <w:spacing w:after="110"/>
      </w:pPr>
      <w:r>
        <w:rPr>
          <w:color w:val="1F2B24"/>
          <w:sz w:val="21"/>
          <w:szCs w:val="21"/>
        </w:rPr>
        <w:t xml:space="preserve">Deterministic automation, one system integration (Neolink), no LLM/model risk to manage.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rPr>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Governance</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Infra setup</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Development</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QA</w:t>
            </w:r>
          </w:p>
        </w:tc>
      </w:tr>
      <w:tr>
        <w:trPr>
          <w:cantSplit/>
        </w:trPr>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Small</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Medium</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Medium</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Medium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Directional sizing for planning discussion, not a committed estimate – confirm with a formal estimation session before this figure is used in a budget ask.</w:t>
            </w:r>
          </w:p>
        </w:tc>
      </w:tr>
    </w:tbl>
    <w:p>
      <w:pPr>
        <w:pageBreakBefore/>
        <w:spacing w:after="160" w:before="260"/>
      </w:pPr>
      <w:r>
        <w:rPr>
          <w:rFonts w:ascii="Arial" w:cs="Arial" w:eastAsia="Arial" w:hAnsi="Arial"/>
          <w:b/>
          <w:bCs/>
          <w:color w:val="1F5F45"/>
          <w:sz w:val="30"/>
          <w:szCs w:val="30"/>
        </w:rPr>
        <w:t xml:space="preserve">UC-021 – AI-Generated Security Callback Scripts</w:t>
      </w:r>
    </w:p>
    <w:p>
      <w:pPr>
        <w:spacing w:after="160"/>
      </w:pPr>
      <w:r>
        <w:rPr>
          <w:i/>
          <w:iCs/>
          <w:color w:val="50594F"/>
          <w:sz w:val="19"/>
          <w:szCs w:val="19"/>
        </w:rPr>
        <w:t xml:space="preserve">TA Operations / BCIM   ·   Owner: Kate McDermott   ·   Portfolio tier: Quick Win</w:t>
      </w:r>
    </w:p>
    <w:p>
      <w:pPr>
        <w:spacing w:after="50" w:before="120"/>
      </w:pPr>
      <w:r>
        <w:rPr>
          <w:b/>
          <w:bCs/>
          <w:color w:val="B98A2E"/>
          <w:sz w:val="19"/>
          <w:szCs w:val="19"/>
        </w:rPr>
        <w:t xml:space="preserve">EFFORT TAKEN NOW (MANUAL)</w:t>
      </w:r>
    </w:p>
    <w:p>
      <w:pPr>
        <w:pStyle w:val="ListParagraph"/>
        <w:numPr>
          <w:ilvl w:val="0"/>
          <w:numId w:val="1"/>
        </w:numPr>
        <w:spacing w:after="60"/>
      </w:pPr>
      <w:r>
        <w:rPr>
          <w:color w:val="1F2B24"/>
          <w:sz w:val="21"/>
          <w:szCs w:val="21"/>
        </w:rPr>
        <w:t xml:space="preserve">Security callback questions for verifying investor bank-detail changes are drafted manually for every scenario (static data updates, large-amount transactions, duplicate/ambiguous instructions, original vs. post-received instructions).</w:t>
      </w:r>
    </w:p>
    <w:p>
      <w:pPr>
        <w:pStyle w:val="ListParagraph"/>
        <w:numPr>
          <w:ilvl w:val="0"/>
          <w:numId w:val="1"/>
        </w:numPr>
        <w:spacing w:after="60"/>
      </w:pPr>
      <w:r>
        <w:rPr>
          <w:color w:val="1F2B24"/>
          <w:sz w:val="21"/>
          <w:szCs w:val="21"/>
        </w:rPr>
        <w:t xml:space="preserve">Following the call, the team manually prepares post-call documentation and updates the COMBO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Confirmed by process owner: About 15 minutes per call for question generation.</w:t>
            </w:r>
          </w:p>
        </w:tc>
      </w:tr>
    </w:tbl>
    <w:p>
      <w:pPr>
        <w:spacing w:after="50" w:before="120"/>
      </w:pPr>
      <w:r>
        <w:rPr>
          <w:b/>
          <w:bCs/>
          <w:color w:val="B98A2E"/>
          <w:sz w:val="19"/>
          <w:szCs w:val="19"/>
        </w:rPr>
        <w:t xml:space="preserve">VOLUME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Confirmed by process owner: 1,020 / year – EMEA (Warsaw); 895 / year – APAC (HK); 55 / year – America. Total: 1,970 / year.</w:t>
            </w:r>
          </w:p>
        </w:tc>
      </w:tr>
    </w:tbl>
    <w:p>
      <w:pPr>
        <w:spacing w:after="50" w:before="120"/>
      </w:pPr>
      <w:r>
        <w:rPr>
          <w:b/>
          <w:bCs/>
          <w:color w:val="B98A2E"/>
          <w:sz w:val="19"/>
          <w:szCs w:val="19"/>
        </w:rPr>
        <w:t xml:space="preserve">DERIVED ANNUAL EFFORT</w:t>
      </w:r>
    </w:p>
    <w:p>
      <w:pPr>
        <w:spacing w:after="110"/>
      </w:pPr>
      <w:r>
        <w:rPr>
          <w:color w:val="1F2B24"/>
          <w:sz w:val="21"/>
          <w:szCs w:val="21"/>
        </w:rPr>
        <w:t xml:space="preserve">1,970 calls/year × 15 min = 29,550 min ≈ 492.5 hours / year.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Volume is split across three regions with likely different hourly rates – a blended total will need a regional breakdown to cost accurately.</w:t>
            </w:r>
          </w:p>
        </w:tc>
      </w:tr>
    </w:tbl>
    <w:p>
      <w:pPr>
        <w:spacing w:after="50" w:before="120"/>
      </w:pPr>
      <w:r>
        <w:rPr>
          <w:b/>
          <w:bCs/>
          <w:color w:val="B98A2E"/>
          <w:sz w:val="19"/>
          <w:szCs w:val="19"/>
        </w:rPr>
        <w:t xml:space="preserve">ESTIMATED BENEFIT</w:t>
      </w:r>
    </w:p>
    <w:p>
      <w:pPr>
        <w:spacing w:after="110"/>
      </w:pPr>
      <w:r>
        <w:rPr>
          <w:color w:val="1F2B24"/>
          <w:sz w:val="21"/>
          <w:szCs w:val="21"/>
        </w:rPr>
        <w:t xml:space="preserve">0.27 FTE saving (source: UC-021 solution deck) – the first quantified benefit figure available on this portfolio, distinct from the cost-side numbers elsewhere in this document.</w:t>
      </w:r>
    </w:p>
    <w:p>
      <w:pPr>
        <w:spacing w:after="50" w:before="120"/>
      </w:pPr>
      <w:r>
        <w:rPr>
          <w:b/>
          <w:bCs/>
          <w:color w:val="B98A2E"/>
          <w:sz w:val="19"/>
          <w:szCs w:val="19"/>
        </w:rPr>
        <w:t xml:space="preserve">CURRENT COST OF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AD5A3E" w:sz="4"/>
              <w:left w:val="single" w:color="AD5A3E" w:sz="16"/>
              <w:bottom w:val="single" w:color="AD5A3E" w:sz="4"/>
              <w:right w:val="single" w:color="AD5A3E" w:sz="4"/>
            </w:tcBorders>
            <w:shd w:fill="FBF0EC" w:val="clear"/>
            <w:tcMar>
              <w:top w:type="dxa" w:w="90"/>
              <w:left w:type="dxa" w:w="160"/>
              <w:bottom w:type="dxa" w:w="90"/>
              <w:right w:type="dxa" w:w="160"/>
            </w:tcMar>
          </w:tcPr>
          <w:p>
            <w:pPr>
              <w:spacing w:after="40"/>
            </w:pPr>
            <w:r>
              <w:rPr>
                <w:b/>
                <w:bCs/>
                <w:color w:val="AD5A3E"/>
                <w:sz w:val="18"/>
                <w:szCs w:val="18"/>
              </w:rPr>
              <w:t xml:space="preserve">DATA GAP</w:t>
            </w:r>
          </w:p>
          <w:p>
            <w:r>
              <w:rPr>
                <w:color w:val="1F2B24"/>
                <w:sz w:val="20"/>
                <w:szCs w:val="20"/>
              </w:rPr>
              <w:t xml:space="preserve">Cost = (1,020 × Warsaw rate + 895 × HK rate + 55 × America rate) × 15 min ÷ 60, using each region's fully-loaded hourly rate. Fully-loaded hourly/day rates by location still needed from Finance to complete this.</w:t>
            </w:r>
          </w:p>
        </w:tc>
      </w:tr>
    </w:tbl>
    <w:p>
      <w:pPr>
        <w:spacing w:after="50" w:before="120"/>
      </w:pPr>
      <w:r>
        <w:rPr>
          <w:b/>
          <w:bCs/>
          <w:color w:val="B98A2E"/>
          <w:sz w:val="19"/>
          <w:szCs w:val="19"/>
        </w:rPr>
        <w:t xml:space="preserve">RESIDUAL RISKS TO MANAGE (POST-AUTOMATION)</w:t>
      </w:r>
    </w:p>
    <w:p>
      <w:pPr>
        <w:pStyle w:val="ListParagraph"/>
        <w:numPr>
          <w:ilvl w:val="0"/>
          <w:numId w:val="1"/>
        </w:numPr>
        <w:spacing w:after="60"/>
      </w:pPr>
      <w:r>
        <w:rPr>
          <w:color w:val="1F2B24"/>
          <w:sz w:val="21"/>
          <w:szCs w:val="21"/>
        </w:rPr>
        <w:t xml:space="preserve">Predictability risk – if generated questions fall into guessable patterns, fraud-prevention value degrades; needs periodic quality audit against a control set.</w:t>
      </w:r>
    </w:p>
    <w:p>
      <w:pPr>
        <w:pStyle w:val="ListParagraph"/>
        <w:numPr>
          <w:ilvl w:val="0"/>
          <w:numId w:val="1"/>
        </w:numPr>
        <w:spacing w:after="60"/>
      </w:pPr>
      <w:r>
        <w:rPr>
          <w:color w:val="1F2B24"/>
          <w:sz w:val="21"/>
          <w:szCs w:val="21"/>
        </w:rPr>
        <w:t xml:space="preserve">Hallucination risk – lower than document-extraction use cases since a human reads the output live, but scenario misinterpretation could still produce a nonsensical question; consider template-locking the structure.</w:t>
      </w:r>
    </w:p>
    <w:p>
      <w:pPr>
        <w:pStyle w:val="ListParagraph"/>
        <w:numPr>
          <w:ilvl w:val="0"/>
          <w:numId w:val="1"/>
        </w:numPr>
        <w:spacing w:after="60"/>
      </w:pPr>
      <w:r>
        <w:rPr>
          <w:color w:val="1F2B24"/>
          <w:sz w:val="21"/>
          <w:szCs w:val="21"/>
        </w:rPr>
        <w:t xml:space="preserve">This sits in a fraud-control workflow, so output quality drift has a direct security consequence, not just an efficiency one.</w:t>
      </w:r>
    </w:p>
    <w:p>
      <w:pPr>
        <w:spacing w:after="50" w:before="120"/>
      </w:pPr>
      <w:r>
        <w:rPr>
          <w:b/>
          <w:bCs/>
          <w:color w:val="B98A2E"/>
          <w:sz w:val="19"/>
          <w:szCs w:val="19"/>
        </w:rPr>
        <w:t xml:space="preserve">INDICATIVE EFFORT TO BUILD</w:t>
      </w:r>
    </w:p>
    <w:p>
      <w:pPr>
        <w:spacing w:after="80"/>
      </w:pPr>
      <w:r>
        <w:rPr>
          <w:b/>
          <w:bCs/>
          <w:color w:val="B98A2E"/>
          <w:sz w:val="26"/>
          <w:szCs w:val="26"/>
        </w:rPr>
        <w:t xml:space="preserve">Medium overall</w:t>
      </w:r>
    </w:p>
    <w:p>
      <w:pPr>
        <w:spacing w:after="110"/>
      </w:pPr>
      <w:r>
        <w:rPr>
          <w:color w:val="1F2B24"/>
          <w:sz w:val="21"/>
          <w:szCs w:val="21"/>
        </w:rPr>
        <w:t xml:space="preserve">No system integration – COMBO updates remain a manual copy-paste. Uses the Generation capability of the shared LLM integration layer. Scope is broader than first scoped: four distinct scenario-specific prompts plus post-call documentation generation, rather than a single prompt – development effort below reflects that.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rPr>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Governance</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Infra setup</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Development</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QA</w:t>
            </w:r>
          </w:p>
        </w:tc>
      </w:tr>
      <w:tr>
        <w:trPr>
          <w:cantSplit/>
        </w:trPr>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Medium</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Small</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Medium</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Medium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Directional sizing for planning discussion, not a committed estimate – confirm with a formal estimation session before this figure is used in a budget ask.</w:t>
            </w:r>
          </w:p>
        </w:tc>
      </w:tr>
    </w:tbl>
    <w:p>
      <w:pPr>
        <w:pageBreakBefore/>
        <w:spacing w:after="160" w:before="260"/>
      </w:pPr>
      <w:r>
        <w:rPr>
          <w:rFonts w:ascii="Arial" w:cs="Arial" w:eastAsia="Arial" w:hAnsi="Arial"/>
          <w:b/>
          <w:bCs/>
          <w:color w:val="1F5F45"/>
          <w:sz w:val="30"/>
          <w:szCs w:val="30"/>
        </w:rPr>
        <w:t xml:space="preserve">UC-023 – KYC Document Processing</w:t>
      </w:r>
    </w:p>
    <w:p>
      <w:pPr>
        <w:spacing w:after="160"/>
      </w:pPr>
      <w:r>
        <w:rPr>
          <w:i/>
          <w:iCs/>
          <w:color w:val="50594F"/>
          <w:sz w:val="19"/>
          <w:szCs w:val="19"/>
        </w:rPr>
        <w:t xml:space="preserve">FA Operations   ·   Owner: Unassigned   ·   Portfolio tier: Strategic Priority</w:t>
      </w:r>
    </w:p>
    <w:p>
      <w:pPr>
        <w:spacing w:after="50" w:before="120"/>
      </w:pPr>
      <w:r>
        <w:rPr>
          <w:b/>
          <w:bCs/>
          <w:color w:val="B98A2E"/>
          <w:sz w:val="19"/>
          <w:szCs w:val="19"/>
        </w:rPr>
        <w:t xml:space="preserve">EFFORT TAKEN NOW (MANUAL)</w:t>
      </w:r>
    </w:p>
    <w:p>
      <w:pPr>
        <w:pStyle w:val="ListParagraph"/>
        <w:numPr>
          <w:ilvl w:val="0"/>
          <w:numId w:val="1"/>
        </w:numPr>
        <w:spacing w:after="60"/>
      </w:pPr>
      <w:r>
        <w:rPr>
          <w:color w:val="1F2B24"/>
          <w:sz w:val="21"/>
          <w:szCs w:val="21"/>
        </w:rPr>
        <w:t xml:space="preserve">Certified KYC documents arrive by email as individual PDFs.</w:t>
      </w:r>
    </w:p>
    <w:p>
      <w:pPr>
        <w:pStyle w:val="ListParagraph"/>
        <w:numPr>
          <w:ilvl w:val="0"/>
          <w:numId w:val="1"/>
        </w:numPr>
        <w:spacing w:after="60"/>
      </w:pPr>
      <w:r>
        <w:rPr>
          <w:color w:val="1F2B24"/>
          <w:sz w:val="21"/>
          <w:szCs w:val="21"/>
        </w:rPr>
        <w:t xml:space="preserve">A team member manually enters details into an NTAS GRID loader file.</w:t>
      </w:r>
    </w:p>
    <w:p>
      <w:pPr>
        <w:pStyle w:val="ListParagraph"/>
        <w:numPr>
          <w:ilvl w:val="0"/>
          <w:numId w:val="1"/>
        </w:numPr>
        <w:spacing w:after="60"/>
      </w:pPr>
      <w:r>
        <w:rPr>
          <w:color w:val="1F2B24"/>
          <w:sz w:val="21"/>
          <w:szCs w:val="21"/>
        </w:rPr>
        <w:t xml:space="preserve">A second person (checker) reviews before upload – existing maker-checker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Confirmed by process owner: 10 minutes / document for GRID preparation only (marked with an asterisk in the notes – possibly referencing a footnote not captured in the photo; confirm). A second figure, “10 secs/doc,” is also noted with no label – meaning unclear, possibly a target automated-processing time; confirm before using.</w:t>
            </w:r>
          </w:p>
        </w:tc>
      </w:tr>
    </w:tbl>
    <w:p>
      <w:pPr>
        <w:spacing w:after="50" w:before="120"/>
      </w:pPr>
      <w:r>
        <w:rPr>
          <w:b/>
          <w:bCs/>
          <w:color w:val="B98A2E"/>
          <w:sz w:val="19"/>
          <w:szCs w:val="19"/>
        </w:rPr>
        <w:t xml:space="preserve">VOLUME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Confirmed by process owner: 180 / month total – HK: 100, EMEA (Ireland/Poland): 60, America: 20.</w:t>
            </w:r>
          </w:p>
        </w:tc>
      </w:tr>
    </w:tbl>
    <w:p>
      <w:pPr>
        <w:spacing w:after="50" w:before="120"/>
      </w:pPr>
      <w:r>
        <w:rPr>
          <w:b/>
          <w:bCs/>
          <w:color w:val="B98A2E"/>
          <w:sz w:val="19"/>
          <w:szCs w:val="19"/>
        </w:rPr>
        <w:t xml:space="preserve">DERIVED ANNUAL EFFORT</w:t>
      </w:r>
    </w:p>
    <w:p>
      <w:pPr>
        <w:spacing w:after="110"/>
      </w:pPr>
      <w:r>
        <w:rPr>
          <w:color w:val="1F2B24"/>
          <w:sz w:val="21"/>
          <w:szCs w:val="21"/>
        </w:rPr>
        <w:t xml:space="preserve">180/month × 12 × 10 min = 21,600 min ≈ 360 hours / year (GRID preparation only – excludes checker review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Excludes the checker's review time, which is not quantified in the notes.</w:t>
            </w:r>
          </w:p>
        </w:tc>
      </w:tr>
    </w:tbl>
    <w:p>
      <w:pPr>
        <w:spacing w:after="50" w:before="120"/>
      </w:pPr>
      <w:r>
        <w:rPr>
          <w:b/>
          <w:bCs/>
          <w:color w:val="B98A2E"/>
          <w:sz w:val="19"/>
          <w:szCs w:val="19"/>
        </w:rPr>
        <w:t xml:space="preserve">CURRENT-STATE RISK (WHY AUTOMATE)</w:t>
      </w:r>
    </w:p>
    <w:p>
      <w:pPr>
        <w:spacing w:after="110"/>
      </w:pPr>
      <w:r>
        <w:rPr>
          <w:color w:val="1F2B24"/>
          <w:sz w:val="21"/>
          <w:szCs w:val="21"/>
        </w:rPr>
        <w:t xml:space="preserve">Grid file is reviewed by human as it is done now – i.e. the maker-checker control is already in place today and is intended to be retained.</w:t>
      </w:r>
    </w:p>
    <w:p>
      <w:pPr>
        <w:spacing w:after="50" w:before="120"/>
      </w:pPr>
      <w:r>
        <w:rPr>
          <w:b/>
          <w:bCs/>
          <w:color w:val="B98A2E"/>
          <w:sz w:val="19"/>
          <w:szCs w:val="19"/>
        </w:rPr>
        <w:t xml:space="preserve">CURRENT COST OF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AD5A3E" w:sz="4"/>
              <w:left w:val="single" w:color="AD5A3E" w:sz="16"/>
              <w:bottom w:val="single" w:color="AD5A3E" w:sz="4"/>
              <w:right w:val="single" w:color="AD5A3E" w:sz="4"/>
            </w:tcBorders>
            <w:shd w:fill="FBF0EC" w:val="clear"/>
            <w:tcMar>
              <w:top w:type="dxa" w:w="90"/>
              <w:left w:type="dxa" w:w="160"/>
              <w:bottom w:type="dxa" w:w="90"/>
              <w:right w:type="dxa" w:w="160"/>
            </w:tcMar>
          </w:tcPr>
          <w:p>
            <w:pPr>
              <w:spacing w:after="40"/>
            </w:pPr>
            <w:r>
              <w:rPr>
                <w:b/>
                <w:bCs/>
                <w:color w:val="AD5A3E"/>
                <w:sz w:val="18"/>
                <w:szCs w:val="18"/>
              </w:rPr>
              <w:t xml:space="preserve">DATA GAP</w:t>
            </w:r>
          </w:p>
          <w:p>
            <w:r>
              <w:rPr>
                <w:color w:val="1F2B24"/>
                <w:sz w:val="20"/>
                <w:szCs w:val="20"/>
              </w:rPr>
              <w:t xml:space="preserve">Cost = (100 × HK rate + 60 × EMEA rate + 20 × America rate) × 12 × 10 min ÷ 60, using each region's fully-loaded hourly rate. Fully-loaded hourly/day rates by location still needed from Finance to complete this.</w:t>
            </w:r>
          </w:p>
        </w:tc>
      </w:tr>
    </w:tbl>
    <w:p>
      <w:pPr>
        <w:spacing w:after="50" w:before="120"/>
      </w:pPr>
      <w:r>
        <w:rPr>
          <w:b/>
          <w:bCs/>
          <w:color w:val="B98A2E"/>
          <w:sz w:val="19"/>
          <w:szCs w:val="19"/>
        </w:rPr>
        <w:t xml:space="preserve">RESIDUAL RISKS TO MANAGE (POST-AUTOMATION)</w:t>
      </w:r>
    </w:p>
    <w:p>
      <w:pPr>
        <w:pStyle w:val="ListParagraph"/>
        <w:numPr>
          <w:ilvl w:val="0"/>
          <w:numId w:val="1"/>
        </w:numPr>
        <w:spacing w:after="60"/>
      </w:pPr>
      <w:r>
        <w:rPr>
          <w:color w:val="1F2B24"/>
          <w:sz w:val="21"/>
          <w:szCs w:val="21"/>
        </w:rPr>
        <w:t xml:space="preserve">Extraction-error risk – incorrect field extraction (name, DOB, ID numbers) could reach NTAS if the maker doesn't catch it; automation bias (rubber-stamping AI output over time) is a real residual risk worth monitoring, not just designing around.</w:t>
      </w:r>
    </w:p>
    <w:p>
      <w:pPr>
        <w:pStyle w:val="ListParagraph"/>
        <w:numPr>
          <w:ilvl w:val="0"/>
          <w:numId w:val="1"/>
        </w:numPr>
        <w:spacing w:after="60"/>
      </w:pPr>
      <w:r>
        <w:rPr>
          <w:color w:val="1F2B24"/>
          <w:sz w:val="21"/>
          <w:szCs w:val="21"/>
        </w:rPr>
        <w:t xml:space="preserve">Low-confidence documents – poor scan quality needs an explicit “flag for full manual review” path rather than forcing an extraction.</w:t>
      </w:r>
    </w:p>
    <w:p>
      <w:pPr>
        <w:pStyle w:val="ListParagraph"/>
        <w:numPr>
          <w:ilvl w:val="0"/>
          <w:numId w:val="1"/>
        </w:numPr>
        <w:spacing w:after="60"/>
      </w:pPr>
      <w:r>
        <w:rPr>
          <w:color w:val="1F2B24"/>
          <w:sz w:val="21"/>
          <w:szCs w:val="21"/>
        </w:rPr>
        <w:t xml:space="preserve">Highest data sensitivity on this list – KYC/AML data handling, retention and residency with whichever model provider is used needs its own sign-off, separate from the general architecture review.</w:t>
      </w:r>
    </w:p>
    <w:p>
      <w:pPr>
        <w:spacing w:after="50" w:before="120"/>
      </w:pPr>
      <w:r>
        <w:rPr>
          <w:b/>
          <w:bCs/>
          <w:color w:val="B98A2E"/>
          <w:sz w:val="19"/>
          <w:szCs w:val="19"/>
        </w:rPr>
        <w:t xml:space="preserve">INDICATIVE EFFORT TO BUILD</w:t>
      </w:r>
    </w:p>
    <w:p>
      <w:pPr>
        <w:spacing w:after="80"/>
      </w:pPr>
      <w:r>
        <w:rPr>
          <w:b/>
          <w:bCs/>
          <w:color w:val="B98A2E"/>
          <w:sz w:val="26"/>
          <w:szCs w:val="26"/>
        </w:rPr>
        <w:t xml:space="preserve">Medium overall</w:t>
      </w:r>
    </w:p>
    <w:p>
      <w:pPr>
        <w:spacing w:after="110"/>
      </w:pPr>
      <w:r>
        <w:rPr>
          <w:color w:val="1F2B24"/>
          <w:sz w:val="21"/>
          <w:szCs w:val="21"/>
        </w:rPr>
        <w:t xml:space="preserve">LLM extraction + schema design + NTAS GRID file generation + maker-checker flow. Cost falls if it reuses the shared LLM integration layer already built for UC-004.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rPr>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Governance</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Infra setup</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Development</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QA</w:t>
            </w:r>
          </w:p>
        </w:tc>
      </w:tr>
      <w:tr>
        <w:trPr>
          <w:cantSplit/>
        </w:trPr>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Medium</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Medium</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Medium</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Medium–Large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Directional sizing for planning discussion, not a committed estimate – confirm with a formal estimation session before this figure is used in a budget ask.</w:t>
            </w:r>
          </w:p>
        </w:tc>
      </w:tr>
    </w:tbl>
    <w:p>
      <w:pPr>
        <w:pageBreakBefore/>
        <w:spacing w:after="160" w:before="260"/>
      </w:pPr>
      <w:r>
        <w:rPr>
          <w:rFonts w:ascii="Arial" w:cs="Arial" w:eastAsia="Arial" w:hAnsi="Arial"/>
          <w:b/>
          <w:bCs/>
          <w:color w:val="1F5F45"/>
          <w:sz w:val="30"/>
          <w:szCs w:val="30"/>
        </w:rPr>
        <w:t xml:space="preserve">UC-004 – Client Invoice Payment Processing</w:t>
      </w:r>
    </w:p>
    <w:p>
      <w:pPr>
        <w:spacing w:after="160"/>
      </w:pPr>
      <w:r>
        <w:rPr>
          <w:i/>
          <w:iCs/>
          <w:color w:val="50594F"/>
          <w:sz w:val="19"/>
          <w:szCs w:val="19"/>
        </w:rPr>
        <w:t xml:space="preserve">FA Operations   ·   Owner: Steve Smyth   ·   Portfolio tier: Strategic Priority</w:t>
      </w:r>
    </w:p>
    <w:p>
      <w:pPr>
        <w:spacing w:after="50" w:before="120"/>
      </w:pPr>
      <w:r>
        <w:rPr>
          <w:b/>
          <w:bCs/>
          <w:color w:val="B98A2E"/>
          <w:sz w:val="19"/>
          <w:szCs w:val="19"/>
        </w:rPr>
        <w:t xml:space="preserve">EFFORT TAKEN NOW (MANUAL)</w:t>
      </w:r>
    </w:p>
    <w:p>
      <w:pPr>
        <w:pStyle w:val="ListParagraph"/>
        <w:numPr>
          <w:ilvl w:val="0"/>
          <w:numId w:val="1"/>
        </w:numPr>
        <w:spacing w:after="60"/>
      </w:pPr>
      <w:r>
        <w:rPr>
          <w:color w:val="1F2B24"/>
          <w:sz w:val="21"/>
          <w:szCs w:val="21"/>
        </w:rPr>
        <w:t xml:space="preserve">Manual review of incoming client invoice emails.</w:t>
      </w:r>
    </w:p>
    <w:p>
      <w:pPr>
        <w:pStyle w:val="ListParagraph"/>
        <w:numPr>
          <w:ilvl w:val="0"/>
          <w:numId w:val="1"/>
        </w:numPr>
        <w:spacing w:after="60"/>
      </w:pPr>
      <w:r>
        <w:rPr>
          <w:color w:val="1F2B24"/>
          <w:sz w:val="21"/>
          <w:szCs w:val="21"/>
        </w:rPr>
        <w:t xml:space="preserve">Manual entry into Neolink with 4-eye review.</w:t>
      </w:r>
    </w:p>
    <w:p>
      <w:pPr>
        <w:pStyle w:val="ListParagraph"/>
        <w:numPr>
          <w:ilvl w:val="0"/>
          <w:numId w:val="1"/>
        </w:numPr>
        <w:spacing w:after="60"/>
      </w:pPr>
      <w:r>
        <w:rPr>
          <w:color w:val="1F2B24"/>
          <w:sz w:val="21"/>
          <w:szCs w:val="21"/>
        </w:rPr>
        <w:t xml:space="preserve">Manual entry into the FA system (Geneva).</w:t>
      </w:r>
    </w:p>
    <w:p>
      <w:pPr>
        <w:pStyle w:val="ListParagraph"/>
        <w:numPr>
          <w:ilvl w:val="0"/>
          <w:numId w:val="1"/>
        </w:numPr>
        <w:spacing w:after="60"/>
      </w:pPr>
      <w:r>
        <w:rPr>
          <w:color w:val="1F2B24"/>
          <w:sz w:val="21"/>
          <w:szCs w:val="21"/>
        </w:rPr>
        <w:t xml:space="preserve">Manual entry into the NAV control pack.</w:t>
      </w:r>
    </w:p>
    <w:p>
      <w:pPr>
        <w:pStyle w:val="ListParagraph"/>
        <w:numPr>
          <w:ilvl w:val="0"/>
          <w:numId w:val="1"/>
        </w:numPr>
        <w:spacing w:after="60"/>
      </w:pPr>
      <w:r>
        <w:rPr>
          <w:color w:val="1F2B24"/>
          <w:sz w:val="21"/>
          <w:szCs w:val="21"/>
        </w:rPr>
        <w:t xml:space="preserve">Manual response to client confirming receipt / payment.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AD5A3E" w:sz="4"/>
              <w:left w:val="single" w:color="AD5A3E" w:sz="16"/>
              <w:bottom w:val="single" w:color="AD5A3E" w:sz="4"/>
              <w:right w:val="single" w:color="AD5A3E" w:sz="4"/>
            </w:tcBorders>
            <w:shd w:fill="FBF0EC" w:val="clear"/>
            <w:tcMar>
              <w:top w:type="dxa" w:w="90"/>
              <w:left w:type="dxa" w:w="160"/>
              <w:bottom w:type="dxa" w:w="90"/>
              <w:right w:type="dxa" w:w="160"/>
            </w:tcMar>
          </w:tcPr>
          <w:p>
            <w:pPr>
              <w:spacing w:after="40"/>
            </w:pPr>
            <w:r>
              <w:rPr>
                <w:b/>
                <w:bCs/>
                <w:color w:val="AD5A3E"/>
                <w:sz w:val="18"/>
                <w:szCs w:val="18"/>
              </w:rPr>
              <w:t xml:space="preserve">DATA GAP</w:t>
            </w:r>
          </w:p>
          <w:p>
            <w:r>
              <w:rPr>
                <w:color w:val="1F2B24"/>
                <w:sz w:val="20"/>
                <w:szCs w:val="20"/>
              </w:rPr>
              <w:t xml:space="preserve">Process owner note (25 Aug 2026) states explicitly: “No Estimates Yet.” This is a confirmed absence, not a missing page – estimates for this use case simply don't exist yet.</w:t>
            </w:r>
          </w:p>
        </w:tc>
      </w:tr>
    </w:tbl>
    <w:p>
      <w:pPr>
        <w:spacing w:after="50" w:before="120"/>
      </w:pPr>
      <w:r>
        <w:rPr>
          <w:b/>
          <w:bCs/>
          <w:color w:val="B98A2E"/>
          <w:sz w:val="19"/>
          <w:szCs w:val="19"/>
        </w:rPr>
        <w:t xml:space="preserve">VOLUME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AD5A3E" w:sz="4"/>
              <w:left w:val="single" w:color="AD5A3E" w:sz="16"/>
              <w:bottom w:val="single" w:color="AD5A3E" w:sz="4"/>
              <w:right w:val="single" w:color="AD5A3E" w:sz="4"/>
            </w:tcBorders>
            <w:shd w:fill="FBF0EC" w:val="clear"/>
            <w:tcMar>
              <w:top w:type="dxa" w:w="90"/>
              <w:left w:type="dxa" w:w="160"/>
              <w:bottom w:type="dxa" w:w="90"/>
              <w:right w:type="dxa" w:w="160"/>
            </w:tcMar>
          </w:tcPr>
          <w:p>
            <w:pPr>
              <w:spacing w:after="40"/>
            </w:pPr>
            <w:r>
              <w:rPr>
                <w:b/>
                <w:bCs/>
                <w:color w:val="AD5A3E"/>
                <w:sz w:val="18"/>
                <w:szCs w:val="18"/>
              </w:rPr>
              <w:t xml:space="preserve">DATA GAP</w:t>
            </w:r>
          </w:p>
          <w:p>
            <w:r>
              <w:rPr>
                <w:color w:val="1F2B24"/>
                <w:sz w:val="20"/>
                <w:szCs w:val="20"/>
              </w:rPr>
              <w:t xml:space="preserve">Process owner note (25 Aug 2026) states explicitly: “No Estimates Yet.” This is a confirmed absence, not a missing page – estimates for this use case simply don't exist yet.</w:t>
            </w:r>
          </w:p>
        </w:tc>
      </w:tr>
    </w:tbl>
    <w:p>
      <w:pPr>
        <w:spacing w:after="50" w:before="120"/>
      </w:pPr>
      <w:r>
        <w:rPr>
          <w:b/>
          <w:bCs/>
          <w:color w:val="B98A2E"/>
          <w:sz w:val="19"/>
          <w:szCs w:val="19"/>
        </w:rPr>
        <w:t xml:space="preserve">CURRENT COST OF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AD5A3E" w:sz="4"/>
              <w:left w:val="single" w:color="AD5A3E" w:sz="16"/>
              <w:bottom w:val="single" w:color="AD5A3E" w:sz="4"/>
              <w:right w:val="single" w:color="AD5A3E" w:sz="4"/>
            </w:tcBorders>
            <w:shd w:fill="FBF0EC" w:val="clear"/>
            <w:tcMar>
              <w:top w:type="dxa" w:w="90"/>
              <w:left w:type="dxa" w:w="160"/>
              <w:bottom w:type="dxa" w:w="90"/>
              <w:right w:type="dxa" w:w="160"/>
            </w:tcMar>
          </w:tcPr>
          <w:p>
            <w:pPr>
              <w:spacing w:after="40"/>
            </w:pPr>
            <w:r>
              <w:rPr>
                <w:b/>
                <w:bCs/>
                <w:color w:val="AD5A3E"/>
                <w:sz w:val="18"/>
                <w:szCs w:val="18"/>
              </w:rPr>
              <w:t xml:space="preserve">DATA GAP</w:t>
            </w:r>
          </w:p>
          <w:p>
            <w:r>
              <w:rPr>
                <w:color w:val="1F2B24"/>
                <w:sz w:val="20"/>
                <w:szCs w:val="20"/>
              </w:rPr>
              <w:t xml:space="preserve">Process owner note (25 Aug 2026) states explicitly: “No Estimates Yet.” This is a confirmed absence, not a missing page – estimates for this use case simply don't exist yet.</w:t>
            </w:r>
          </w:p>
        </w:tc>
      </w:tr>
    </w:tbl>
    <w:p>
      <w:pPr>
        <w:spacing w:after="50" w:before="120"/>
      </w:pPr>
      <w:r>
        <w:rPr>
          <w:b/>
          <w:bCs/>
          <w:color w:val="B98A2E"/>
          <w:sz w:val="19"/>
          <w:szCs w:val="19"/>
        </w:rPr>
        <w:t xml:space="preserve">RESIDUAL RISKS TO MANAGE (POST-AUTOMATION)</w:t>
      </w:r>
    </w:p>
    <w:p>
      <w:pPr>
        <w:pStyle w:val="ListParagraph"/>
        <w:numPr>
          <w:ilvl w:val="0"/>
          <w:numId w:val="1"/>
        </w:numPr>
        <w:spacing w:after="60"/>
      </w:pPr>
      <w:r>
        <w:rPr>
          <w:color w:val="1F2B24"/>
          <w:sz w:val="21"/>
          <w:szCs w:val="21"/>
        </w:rPr>
        <w:t xml:space="preserve">Largest financial exposure on this list – an extraction error feeding into an actual payment posting is a direct money-movement risk; the 4-eye review must remain a genuine control, not a rubber stamp, as automation reduces perceived need for scrutiny.</w:t>
      </w:r>
    </w:p>
    <w:p>
      <w:pPr>
        <w:pStyle w:val="ListParagraph"/>
        <w:numPr>
          <w:ilvl w:val="0"/>
          <w:numId w:val="1"/>
        </w:numPr>
        <w:spacing w:after="60"/>
      </w:pPr>
      <w:r>
        <w:rPr>
          <w:color w:val="1F2B24"/>
          <w:sz w:val="21"/>
          <w:szCs w:val="21"/>
        </w:rPr>
        <w:t xml:space="preserve">Multi-system consistency risk – a partial failure (e.g. Neolink succeeds, Geneva post fails) could leave systems out of sync; needs reconciliation safeguards, not just per-step automation.</w:t>
      </w:r>
    </w:p>
    <w:p>
      <w:pPr>
        <w:pStyle w:val="ListParagraph"/>
        <w:numPr>
          <w:ilvl w:val="0"/>
          <w:numId w:val="1"/>
        </w:numPr>
        <w:spacing w:after="60"/>
      </w:pPr>
      <w:r>
        <w:rPr>
          <w:color w:val="1F2B24"/>
          <w:sz w:val="21"/>
          <w:szCs w:val="21"/>
        </w:rPr>
        <w:t xml:space="preserve">Client communication risk – auto-drafted client confirmations could go out incorrectly or prematurely if the human review step is bypassed under time pressure.</w:t>
      </w:r>
    </w:p>
    <w:p>
      <w:pPr>
        <w:spacing w:after="50" w:before="120"/>
      </w:pPr>
      <w:r>
        <w:rPr>
          <w:b/>
          <w:bCs/>
          <w:color w:val="B98A2E"/>
          <w:sz w:val="19"/>
          <w:szCs w:val="19"/>
        </w:rPr>
        <w:t xml:space="preserve">INDICATIVE EFFORT TO BUILD</w:t>
      </w:r>
    </w:p>
    <w:p>
      <w:pPr>
        <w:spacing w:after="80"/>
      </w:pPr>
      <w:r>
        <w:rPr>
          <w:b/>
          <w:bCs/>
          <w:color w:val="B98A2E"/>
          <w:sz w:val="26"/>
          <w:szCs w:val="26"/>
        </w:rPr>
        <w:t xml:space="preserve">Large overall</w:t>
      </w:r>
    </w:p>
    <w:p>
      <w:pPr>
        <w:spacing w:after="110"/>
      </w:pPr>
      <w:r>
        <w:rPr>
          <w:color w:val="1F2B24"/>
          <w:sz w:val="21"/>
          <w:szCs w:val="21"/>
        </w:rPr>
        <w:t xml:space="preserve">Spans Neolink, Geneva and the NAV control pack, plus extraction, validation, 4-eye workflow and client-comms drafting – the largest integration surface of the five. An agent-based reference architecture has already been prototyped in-house.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rPr>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Governance</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Infra setup</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Development</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QA</w:t>
            </w:r>
          </w:p>
        </w:tc>
      </w:tr>
      <w:tr>
        <w:trPr>
          <w:cantSplit/>
        </w:trPr>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Large</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Large</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Large</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Large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Directional sizing for planning discussion, not a committed estimate – confirm with a formal estimation session before this figure is used in a budget ask.</w:t>
            </w:r>
          </w:p>
        </w:tc>
      </w:tr>
    </w:tbl>
    <w:p>
      <w:r>
        <w:br w:type="page"/>
      </w:r>
    </w:p>
    <w:p>
      <w:pPr>
        <w:spacing w:after="160" w:before="260"/>
      </w:pPr>
      <w:r>
        <w:rPr>
          <w:rFonts w:ascii="Arial" w:cs="Arial" w:eastAsia="Arial" w:hAnsi="Arial"/>
          <w:b/>
          <w:bCs/>
          <w:color w:val="1F5F45"/>
          <w:sz w:val="30"/>
          <w:szCs w:val="30"/>
        </w:rPr>
        <w:t xml:space="preserve">Still needed before this goes to committee</w:t>
      </w:r>
    </w:p>
    <w:p>
      <w:pPr>
        <w:spacing w:after="110"/>
      </w:pPr>
      <w:r>
        <w:rPr>
          <w:color w:val="1F2B24"/>
          <w:sz w:val="21"/>
          <w:szCs w:val="21"/>
        </w:rPr>
        <w:t xml:space="preserve">Effort and volume are confirmed for four of the five use cases, with source process documentation now available for two of them. What's left: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48"/>
        <w:gridCol w:w="4032"/>
      </w:tblGrid>
      <w:tr>
        <w:trPr>
          <w:cantSplit/>
        </w:trPr>
        <w:tc>
          <w:tcPr>
            <w:tcW w:type="pct" w:w="60%"/>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Item</w:t>
            </w:r>
          </w:p>
        </w:tc>
        <w:tc>
          <w:tcPr>
            <w:tcW w:type="pct" w:w="40%"/>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Why it's needed</w:t>
            </w:r>
          </w:p>
        </w:tc>
      </w:tr>
      <w:tr>
        <w:trPr>
          <w:cantSplit/>
        </w:trPr>
        <w:tc>
          <w:tcPr>
            <w:tcW w:type="pct" w:w="6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UC-004 – effort, volume and risk-avoidance detail. Process owner has confirmed “No Estimates Yet” (25 Aug 2026 note) – this is a confirmed absence, not a missing page.</w:t>
            </w:r>
          </w:p>
        </w:tc>
        <w:tc>
          <w:tcPr>
            <w:tcW w:type="pct" w:w="4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UC-004 is the largest single benefit case on the portfolio – without this, the summary table can't show its cost.</w:t>
            </w:r>
          </w:p>
        </w:tc>
      </w:tr>
      <w:tr>
        <w:trPr>
          <w:cantSplit/>
        </w:trPr>
        <w:tc>
          <w:tcPr>
            <w:tcW w:type="pct" w:w="6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Fully-loaded hourly / daily rates by location: Warsaw, Dublin/Ireland, Chennai, Hong Kong, Poland (EMEA), America.</w:t>
            </w:r>
          </w:p>
        </w:tc>
        <w:tc>
          <w:tcPr>
            <w:tcW w:type="pct" w:w="4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Every cost formula in this document is now down to this single missing variable – confirm with Finance. Chennai is newly in scope for UC-024.</w:t>
            </w:r>
          </w:p>
        </w:tc>
      </w:tr>
      <w:tr>
        <w:trPr>
          <w:cantSplit/>
        </w:trPr>
        <w:tc>
          <w:tcPr>
            <w:tcW w:type="pct" w:w="6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Confirm the UC-024 effort figure: this update replaces the earlier “7 days Warsaw + 7 days Dublin, monthly” estimate with a fuller multi-location, multi-cadence breakdown that doesn't restate that figure.</w:t>
            </w:r>
          </w:p>
        </w:tc>
        <w:tc>
          <w:tcPr>
            <w:tcW w:type="pct" w:w="4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The two source notes disagree in structure, not just detail – flagged rather than silently resolved. Confirm which is the agreed baseline.</w:t>
            </w:r>
          </w:p>
        </w:tc>
      </w:tr>
      <w:tr>
        <w:trPr>
          <w:cantSplit/>
        </w:trPr>
        <w:tc>
          <w:tcPr>
            <w:tcW w:type="pct" w:w="6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The meaning of the “10 secs/doc” figure and asterisk on UC-023 (consistent across two independent source captures, still unexplained in both).</w:t>
            </w:r>
          </w:p>
        </w:tc>
        <w:tc>
          <w:tcPr>
            <w:tcW w:type="pct" w:w="4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Could be a target automated-processing time or a footnote reference – shouldn't be used in any calculation until confirmed.</w:t>
            </w:r>
          </w:p>
        </w:tc>
      </w:tr>
      <w:tr>
        <w:trPr>
          <w:cantSplit/>
        </w:trPr>
        <w:tc>
          <w:tcPr>
            <w:tcW w:type="pct" w:w="6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How often does each process produce an error today, and what does fixing it cost?</w:t>
            </w:r>
          </w:p>
        </w:tc>
        <w:tc>
          <w:tcPr>
            <w:tcW w:type="pct" w:w="4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Captures the error-cost baseline this business case should also be compared against, not just time saved.</w:t>
            </w:r>
          </w:p>
        </w:tc>
      </w:tr>
    </w:tbl>
    <w:p>
      <w:pPr>
        <w:pBdr>
          <w:top w:val="single" w:color="D8DED8" w:sz="4" w:space="8"/>
        </w:pBdr>
        <w:spacing w:before="300"/>
      </w:pPr>
      <w:r>
        <w:rPr>
          <w:color w:val="50594F"/>
          <w:sz w:val="16"/>
          <w:szCs w:val="16"/>
        </w:rPr>
        <w:t xml:space="preserve">AI Use Case Portfolio Review – Business Case for Management Decision</w:t>
      </w:r>
    </w:p>
    <w:sectPr>
      <w:footerReference w:type="default" r:id="rId9"/>
      <w:pgSz w:w="12240" w:h="15840" w:orient="portrait"/>
      <w:pgMar w:top="900" w:right="1080" w:bottom="900" w:left="1080" w:header="708"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D8" w:sz="4" w:space="6"/>
      </w:pBdr>
      <w:jc w:val="left"/>
    </w:pPr>
    <w:r>
      <w:drawing>
        <wp:inline distT="0" distB="0" distL="0" distR="0">
          <wp:extent cx="12382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219075"/>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D8" w:sz="4" w:space="6"/>
      </w:pBdr>
      <w:jc w:val="left"/>
    </w:pPr>
    <w:r>
      <w:drawing>
        <wp:inline distT="0" distB="0" distL="0" distR="0">
          <wp:extent cx="12382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219075"/>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D8" w:sz="4" w:space="6"/>
      </w:pBdr>
      <w:jc w:val="left"/>
    </w:pPr>
    <w:r>
      <w:drawing>
        <wp:inline distT="0" distB="0" distL="0" distR="0">
          <wp:extent cx="12382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21907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55411824249551b1406b73b772f2bdf08d64d552.png"/></Relationships>
</file>

<file path=word/_rels/footer2.xml.rels><?xml version="1.0" encoding="UTF-8"?><Relationships xmlns="http://schemas.openxmlformats.org/package/2006/relationships"><Relationship Id="rId0" Type="http://schemas.openxmlformats.org/officeDocument/2006/relationships/image" Target="media/55411824249551b1406b73b772f2bdf08d64d552.png"/></Relationships>
</file>

<file path=word/_rels/footer3.xml.rels><?xml version="1.0" encoding="UTF-8"?><Relationships xmlns="http://schemas.openxmlformats.org/package/2006/relationships"><Relationship Id="rId0" Type="http://schemas.openxmlformats.org/officeDocument/2006/relationships/image" Target="media/55411824249551b1406b73b772f2bdf08d64d552.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2026-08-30T18:13:57.251Z</dcterms:created>
  <dcterms:modified xsi:type="dcterms:W3CDTF">2026-08-30T18:13:57.264Z</dcterms:modified>
</cp:coreProperties>
</file>

<file path=docProps/custom.xml><?xml version="1.0" encoding="utf-8"?>
<Properties xmlns="http://schemas.openxmlformats.org/officeDocument/2006/custom-properties" xmlns:vt="http://schemas.openxmlformats.org/officeDocument/2006/docPropsVTypes"/>
</file>