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0594F"/>
          <w:sz w:val="20"/>
          <w:szCs w:val="20"/>
        </w:rPr>
        <w:t xml:space="preserve">BNP Paribas – Liquid Alternatives</w:t>
      </w:r>
    </w:p>
    <w:p>
      <w:pPr>
        <w:spacing w:after="200"/>
      </w:pPr>
      <w:r>
        <w:rPr>
          <w:b/>
          <w:bCs/>
          <w:color w:val="1F5F45"/>
          <w:sz w:val="42"/>
          <w:szCs w:val="42"/>
        </w:rPr>
        <w:t xml:space="preserve">AI Use Case Business Case</w:t>
      </w:r>
    </w:p>
    <w:p>
      <w:pPr>
        <w:spacing w:after="40"/>
      </w:pPr>
      <w:r>
        <w:rPr>
          <w:b/>
          <w:bCs/>
          <w:color w:val="1F2B24"/>
          <w:sz w:val="25"/>
          <w:szCs w:val="25"/>
        </w:rPr>
        <w:t xml:space="preserve">Cost &amp; risk summary for a go / no-go development decision</w:t>
      </w:r>
    </w:p>
    <w:p>
      <w:pPr>
        <w:spacing w:after="300"/>
      </w:pPr>
      <w:r>
        <w:rPr>
          <w:i/>
          <w:iCs/>
          <w:color w:val="50594F"/>
          <w:sz w:val="22"/>
          <w:szCs w:val="22"/>
        </w:rPr>
        <w:t xml:space="preserve">UC-024 · UC-022 · UC-021 · UC-023 · UC-004</w:t>
      </w:r>
    </w:p>
    <w:p>
      <w:pPr>
        <w:spacing w:after="160" w:before="260"/>
      </w:pPr>
      <w:r>
        <w:rPr>
          <w:rFonts w:ascii="Arial" w:cs="Arial" w:eastAsia="Arial" w:hAnsi="Arial"/>
          <w:b/>
          <w:bCs/>
          <w:color w:val="1F5F45"/>
          <w:sz w:val="30"/>
          <w:szCs w:val="30"/>
        </w:rPr>
        <w:t xml:space="preserve">Purpose</w:t>
      </w:r>
    </w:p>
    <w:p>
      <w:pPr>
        <w:spacing w:after="110"/>
      </w:pPr>
      <w:r>
        <w:rPr>
          <w:color w:val="1F2B24"/>
          <w:sz w:val="21"/>
          <w:szCs w:val="21"/>
        </w:rPr>
        <w:t xml:space="preserve">This document supports a cost-based decision on whether to proceed with development for the five AI use cases already approved for consideration. For each use case it sets out the manual effort involved today, the process volume, the current operating cost, the risks that need active management in automating it, and an indicative build effort broken down by governance, infrastructure, development and QA.</w:t>
      </w:r>
    </w:p>
    <w:p>
      <w:pPr>
        <w:spacing w:after="160" w:before="260"/>
      </w:pPr>
      <w:r>
        <w:rPr>
          <w:rFonts w:ascii="Arial" w:cs="Arial" w:eastAsia="Arial" w:hAnsi="Arial"/>
          <w:b/>
          <w:bCs/>
          <w:color w:val="1F5F45"/>
          <w:sz w:val="30"/>
          <w:szCs w:val="30"/>
        </w:rPr>
        <w:t xml:space="preserve">Data availability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AD5A3E" w:sz="4"/>
              <w:left w:val="single" w:color="AD5A3E" w:sz="16"/>
              <w:bottom w:val="single" w:color="AD5A3E" w:sz="4"/>
              <w:right w:val="single" w:color="AD5A3E" w:sz="4"/>
            </w:tcBorders>
            <w:shd w:fill="FBF0EC" w:val="clear"/>
            <w:tcMar>
              <w:top w:type="dxa" w:w="90"/>
              <w:left w:type="dxa" w:w="160"/>
              <w:bottom w:type="dxa" w:w="90"/>
              <w:right w:type="dxa" w:w="160"/>
            </w:tcMar>
          </w:tcPr>
          <w:p>
            <w:pPr>
              <w:spacing w:after="40"/>
            </w:pPr>
            <w:r>
              <w:rPr>
                <w:b/>
                <w:bCs/>
                <w:color w:val="AD5A3E"/>
                <w:sz w:val="18"/>
                <w:szCs w:val="18"/>
              </w:rPr>
              <w:t xml:space="preserve">DATA STATUS – RATES RECEIVED</w:t>
            </w:r>
          </w:p>
          <w:p>
            <w:r>
              <w:rPr>
                <w:color w:val="1F2B24"/>
                <w:sz w:val="20"/>
                <w:szCs w:val="20"/>
              </w:rPr>
              <w:t xml:space="preserve">Fully-loaded annual rates by location have now been supplied (Ireland €220,000; Hong Kong €90,000; US €173,000; India €19,000; Warsaw €51,000), so every use case now carries a calculated Current cost of operation, and both quantified FTE-saving benefits are valued in euros (UC-004: €347,500/year; UC-021: ≈€19,500/year). Rates are converted using 252 working days × 8 hours = 2,016 hours per FTE-year. Total quantified current cost across the five use cases is ≈€561,000/year, of which UC-004 is ~91%. What remains open: (1) an error-cost baseline; (2) confirm the 2,016-hour conversion basis and two location splits that were assumed – UC-023's EMEA volume (Ireland vs Poland) and who performs UC-024's quarterly consolidation; (3) the UC-024 effort figure was materially revised in an earlier update – confirm it's now the agreed number; (4) the UC-004 source note is dated “315/08/2026”, not a valid date – confirm the actual date. A checklist covering exactly these items is included at the end of this document. Build effort remains indicative T-shirt sizing for planning discussion, not a committed estimate.</w:t>
            </w:r>
          </w:p>
        </w:tc>
      </w:tr>
    </w:tbl>
    <w:p>
      <w:pPr>
        <w:keepNext/>
        <w:spacing w:after="80" w:before="240"/>
      </w:pPr>
      <w:r>
        <w:rPr>
          <w:b/>
          <w:bCs/>
          <w:color w:val="B98A2E"/>
          <w:sz w:val="19"/>
          <w:szCs w:val="19"/>
        </w:rPr>
        <w:t xml:space="preserve">RATE BASIS – FULLY-LOADED COST BY LOCATION</w:t>
      </w:r>
    </w:p>
    <w:tbl>
      <w:tblPr>
        <w:tblW w:type="pct" w:w="100%"/>
        <w:tblLayout w:type="fixed"/>
      </w:tblPr>
      <w:tblGrid>
        <w:gridCol w:w="2217"/>
        <w:gridCol w:w="1713"/>
        <w:gridCol w:w="1411"/>
        <w:gridCol w:w="1411"/>
        <w:gridCol w:w="3326"/>
      </w:tblGrid>
      <w:tr>
        <w:trPr>
          <w:cantSplit/>
          <w:tblHeader/>
        </w:trPr>
        <w:tc>
          <w:tcPr>
            <w:tcW w:type="pct" w:w="22%"/>
            <w:tcBorders>
              <w:top w:val="single" w:color="1F5F45" w:sz="4"/>
              <w:left w:val="single" w:color="1F5F45" w:sz="4"/>
              <w:bottom w:val="single" w:color="1F5F45" w:sz="4"/>
              <w:right w:val="single" w:color="1F5F45" w:sz="4"/>
            </w:tcBorders>
            <w:shd w:fill="1F5F45" w:val="clear"/>
            <w:tcMar>
              <w:top w:type="dxa" w:w="80"/>
              <w:left w:type="dxa" w:w="110"/>
              <w:bottom w:type="dxa" w:w="80"/>
              <w:right w:type="dxa" w:w="110"/>
            </w:tcMar>
          </w:tcPr>
          <w:p>
            <w:r>
              <w:rPr>
                <w:b/>
                <w:bCs/>
                <w:color w:val="FFFFFF"/>
                <w:sz w:val="17"/>
                <w:szCs w:val="17"/>
              </w:rPr>
              <w:t xml:space="preserve">Location</w:t>
            </w:r>
          </w:p>
        </w:tc>
        <w:tc>
          <w:tcPr>
            <w:tcW w:type="pct" w:w="17%"/>
            <w:tcBorders>
              <w:top w:val="single" w:color="1F5F45" w:sz="4"/>
              <w:left w:val="single" w:color="1F5F45" w:sz="4"/>
              <w:bottom w:val="single" w:color="1F5F45" w:sz="4"/>
              <w:right w:val="single" w:color="1F5F45" w:sz="4"/>
            </w:tcBorders>
            <w:shd w:fill="1F5F45" w:val="clear"/>
            <w:tcMar>
              <w:top w:type="dxa" w:w="80"/>
              <w:left w:type="dxa" w:w="110"/>
              <w:bottom w:type="dxa" w:w="80"/>
              <w:right w:type="dxa" w:w="110"/>
            </w:tcMar>
          </w:tcPr>
          <w:p>
            <w:r>
              <w:rPr>
                <w:b/>
                <w:bCs/>
                <w:color w:val="FFFFFF"/>
                <w:sz w:val="17"/>
                <w:szCs w:val="17"/>
              </w:rPr>
              <w:t xml:space="preserve">Annual (fully loaded)</w:t>
            </w:r>
          </w:p>
        </w:tc>
        <w:tc>
          <w:tcPr>
            <w:tcW w:type="pct" w:w="14%"/>
            <w:tcBorders>
              <w:top w:val="single" w:color="1F5F45" w:sz="4"/>
              <w:left w:val="single" w:color="1F5F45" w:sz="4"/>
              <w:bottom w:val="single" w:color="1F5F45" w:sz="4"/>
              <w:right w:val="single" w:color="1F5F45" w:sz="4"/>
            </w:tcBorders>
            <w:shd w:fill="1F5F45" w:val="clear"/>
            <w:tcMar>
              <w:top w:type="dxa" w:w="80"/>
              <w:left w:type="dxa" w:w="110"/>
              <w:bottom w:type="dxa" w:w="80"/>
              <w:right w:type="dxa" w:w="110"/>
            </w:tcMar>
          </w:tcPr>
          <w:p>
            <w:r>
              <w:rPr>
                <w:b/>
                <w:bCs/>
                <w:color w:val="FFFFFF"/>
                <w:sz w:val="17"/>
                <w:szCs w:val="17"/>
              </w:rPr>
              <w:t xml:space="preserve">Day rate</w:t>
            </w:r>
          </w:p>
        </w:tc>
        <w:tc>
          <w:tcPr>
            <w:tcW w:type="pct" w:w="14%"/>
            <w:tcBorders>
              <w:top w:val="single" w:color="1F5F45" w:sz="4"/>
              <w:left w:val="single" w:color="1F5F45" w:sz="4"/>
              <w:bottom w:val="single" w:color="1F5F45" w:sz="4"/>
              <w:right w:val="single" w:color="1F5F45" w:sz="4"/>
            </w:tcBorders>
            <w:shd w:fill="1F5F45" w:val="clear"/>
            <w:tcMar>
              <w:top w:type="dxa" w:w="80"/>
              <w:left w:type="dxa" w:w="110"/>
              <w:bottom w:type="dxa" w:w="80"/>
              <w:right w:type="dxa" w:w="110"/>
            </w:tcMar>
          </w:tcPr>
          <w:p>
            <w:r>
              <w:rPr>
                <w:b/>
                <w:bCs/>
                <w:color w:val="FFFFFF"/>
                <w:sz w:val="17"/>
                <w:szCs w:val="17"/>
              </w:rPr>
              <w:t xml:space="preserve">Hourly rate</w:t>
            </w:r>
          </w:p>
        </w:tc>
        <w:tc>
          <w:tcPr>
            <w:tcW w:type="pct" w:w="33%"/>
            <w:tcBorders>
              <w:top w:val="single" w:color="1F5F45" w:sz="4"/>
              <w:left w:val="single" w:color="1F5F45" w:sz="4"/>
              <w:bottom w:val="single" w:color="1F5F45" w:sz="4"/>
              <w:right w:val="single" w:color="1F5F45" w:sz="4"/>
            </w:tcBorders>
            <w:shd w:fill="1F5F45" w:val="clear"/>
            <w:tcMar>
              <w:top w:type="dxa" w:w="80"/>
              <w:left w:type="dxa" w:w="110"/>
              <w:bottom w:type="dxa" w:w="80"/>
              <w:right w:type="dxa" w:w="110"/>
            </w:tcMar>
          </w:tcPr>
          <w:p>
            <w:r>
              <w:rPr>
                <w:b/>
                <w:bCs/>
                <w:color w:val="FFFFFF"/>
                <w:sz w:val="17"/>
                <w:szCs w:val="17"/>
              </w:rPr>
              <w:t xml:space="preserve">Applied to</w:t>
            </w:r>
          </w:p>
        </w:tc>
      </w:tr>
      <w:tr>
        <w:trPr>
          <w:cantSplit/>
        </w:trPr>
        <w:tc>
          <w:tcPr>
            <w:tcW w:type="pct" w:w="22%"/>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b/>
                <w:bCs/>
                <w:color w:val="1F2B24"/>
                <w:sz w:val="17"/>
                <w:szCs w:val="17"/>
              </w:rPr>
              <w:t xml:space="preserve">Ireland (Dublin)</w:t>
            </w:r>
          </w:p>
        </w:tc>
        <w:tc>
          <w:tcPr>
            <w:tcW w:type="pct" w:w="17%"/>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€220,000</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€873</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€109.13</w:t>
            </w:r>
          </w:p>
        </w:tc>
        <w:tc>
          <w:tcPr>
            <w:tcW w:type="pct" w:w="33%"/>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color w:val="50594F"/>
                <w:sz w:val="17"/>
                <w:szCs w:val="17"/>
              </w:rPr>
              <w:t xml:space="preserve">UC-024, UC-023 (EMEA), UC-004</w:t>
            </w:r>
          </w:p>
        </w:tc>
      </w:tr>
      <w:tr>
        <w:trPr>
          <w:cantSplit/>
        </w:trPr>
        <w:tc>
          <w:tcPr>
            <w:tcW w:type="pct" w:w="22%"/>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r>
              <w:rPr>
                <w:b/>
                <w:bCs/>
                <w:color w:val="1F2B24"/>
                <w:sz w:val="17"/>
                <w:szCs w:val="17"/>
              </w:rPr>
              <w:t xml:space="preserve">Hong Kong</w:t>
            </w:r>
          </w:p>
        </w:tc>
        <w:tc>
          <w:tcPr>
            <w:tcW w:type="pct" w:w="17%"/>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€90,000</w:t>
            </w:r>
          </w:p>
        </w:tc>
        <w:tc>
          <w:tcPr>
            <w:tcW w:type="pct" w:w="14%"/>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€357</w:t>
            </w:r>
          </w:p>
        </w:tc>
        <w:tc>
          <w:tcPr>
            <w:tcW w:type="pct" w:w="14%"/>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€44.64</w:t>
            </w:r>
          </w:p>
        </w:tc>
        <w:tc>
          <w:tcPr>
            <w:tcW w:type="pct" w:w="33%"/>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r>
              <w:rPr>
                <w:color w:val="50594F"/>
                <w:sz w:val="17"/>
                <w:szCs w:val="17"/>
              </w:rPr>
              <w:t xml:space="preserve">UC-022, UC-021, UC-023</w:t>
            </w:r>
          </w:p>
        </w:tc>
      </w:tr>
      <w:tr>
        <w:trPr>
          <w:cantSplit/>
        </w:trPr>
        <w:tc>
          <w:tcPr>
            <w:tcW w:type="pct" w:w="22%"/>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b/>
                <w:bCs/>
                <w:color w:val="1F2B24"/>
                <w:sz w:val="17"/>
                <w:szCs w:val="17"/>
              </w:rPr>
              <w:t xml:space="preserve">US (America)</w:t>
            </w:r>
          </w:p>
        </w:tc>
        <w:tc>
          <w:tcPr>
            <w:tcW w:type="pct" w:w="17%"/>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€173,000</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€687</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€85.81</w:t>
            </w:r>
          </w:p>
        </w:tc>
        <w:tc>
          <w:tcPr>
            <w:tcW w:type="pct" w:w="33%"/>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color w:val="50594F"/>
                <w:sz w:val="17"/>
                <w:szCs w:val="17"/>
              </w:rPr>
              <w:t xml:space="preserve">UC-021, UC-023</w:t>
            </w:r>
          </w:p>
        </w:tc>
      </w:tr>
      <w:tr>
        <w:trPr>
          <w:cantSplit/>
        </w:trPr>
        <w:tc>
          <w:tcPr>
            <w:tcW w:type="pct" w:w="22%"/>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r>
              <w:rPr>
                <w:b/>
                <w:bCs/>
                <w:color w:val="1F2B24"/>
                <w:sz w:val="17"/>
                <w:szCs w:val="17"/>
              </w:rPr>
              <w:t xml:space="preserve">India (Chennai)</w:t>
            </w:r>
          </w:p>
        </w:tc>
        <w:tc>
          <w:tcPr>
            <w:tcW w:type="pct" w:w="17%"/>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€19,000</w:t>
            </w:r>
          </w:p>
        </w:tc>
        <w:tc>
          <w:tcPr>
            <w:tcW w:type="pct" w:w="14%"/>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€75</w:t>
            </w:r>
          </w:p>
        </w:tc>
        <w:tc>
          <w:tcPr>
            <w:tcW w:type="pct" w:w="14%"/>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pPr>
              <w:jc w:val="right"/>
            </w:pPr>
            <w:r>
              <w:rPr>
                <w:color w:val="50594F"/>
                <w:sz w:val="17"/>
                <w:szCs w:val="17"/>
              </w:rPr>
              <w:t xml:space="preserve">€9.42</w:t>
            </w:r>
          </w:p>
        </w:tc>
        <w:tc>
          <w:tcPr>
            <w:tcW w:type="pct" w:w="33%"/>
            <w:tcBorders>
              <w:top w:val="single" w:color="D8DED8" w:sz="4"/>
              <w:left w:val="single" w:color="D8DED8" w:sz="4"/>
              <w:bottom w:val="single" w:color="D8DED8" w:sz="4"/>
              <w:right w:val="single" w:color="D8DED8" w:sz="4"/>
            </w:tcBorders>
            <w:shd w:fill="F4F6F4" w:val="clear"/>
            <w:tcMar>
              <w:top w:type="dxa" w:w="80"/>
              <w:left w:type="dxa" w:w="110"/>
              <w:bottom w:type="dxa" w:w="80"/>
              <w:right w:type="dxa" w:w="110"/>
            </w:tcMar>
          </w:tcPr>
          <w:p>
            <w:r>
              <w:rPr>
                <w:color w:val="50594F"/>
                <w:sz w:val="17"/>
                <w:szCs w:val="17"/>
              </w:rPr>
              <w:t xml:space="preserve">UC-024</w:t>
            </w:r>
          </w:p>
        </w:tc>
      </w:tr>
      <w:tr>
        <w:trPr>
          <w:cantSplit/>
        </w:trPr>
        <w:tc>
          <w:tcPr>
            <w:tcW w:type="pct" w:w="22%"/>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b/>
                <w:bCs/>
                <w:color w:val="1F2B24"/>
                <w:sz w:val="17"/>
                <w:szCs w:val="17"/>
              </w:rPr>
              <w:t xml:space="preserve">Warsaw (Poland)</w:t>
            </w:r>
          </w:p>
        </w:tc>
        <w:tc>
          <w:tcPr>
            <w:tcW w:type="pct" w:w="17%"/>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€51,000</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€202</w:t>
            </w:r>
          </w:p>
        </w:tc>
        <w:tc>
          <w:tcPr>
            <w:tcW w:type="pct" w:w="14%"/>
            <w:tcBorders>
              <w:top w:val="single" w:color="D8DED8" w:sz="4"/>
              <w:left w:val="single" w:color="D8DED8" w:sz="4"/>
              <w:bottom w:val="single" w:color="D8DED8" w:sz="4"/>
              <w:right w:val="single" w:color="D8DED8" w:sz="4"/>
            </w:tcBorders>
            <w:tcMar>
              <w:top w:type="dxa" w:w="80"/>
              <w:left w:type="dxa" w:w="110"/>
              <w:bottom w:type="dxa" w:w="80"/>
              <w:right w:type="dxa" w:w="110"/>
            </w:tcMar>
          </w:tcPr>
          <w:p>
            <w:pPr>
              <w:jc w:val="right"/>
            </w:pPr>
            <w:r>
              <w:rPr>
                <w:color w:val="50594F"/>
                <w:sz w:val="17"/>
                <w:szCs w:val="17"/>
              </w:rPr>
              <w:t xml:space="preserve">€25.30</w:t>
            </w:r>
          </w:p>
        </w:tc>
        <w:tc>
          <w:tcPr>
            <w:tcW w:type="pct" w:w="33%"/>
            <w:tcBorders>
              <w:top w:val="single" w:color="D8DED8" w:sz="4"/>
              <w:left w:val="single" w:color="D8DED8" w:sz="4"/>
              <w:bottom w:val="single" w:color="D8DED8" w:sz="4"/>
              <w:right w:val="single" w:color="D8DED8" w:sz="4"/>
            </w:tcBorders>
            <w:tcMar>
              <w:top w:type="dxa" w:w="80"/>
              <w:left w:type="dxa" w:w="110"/>
              <w:bottom w:type="dxa" w:w="80"/>
              <w:right w:type="dxa" w:w="110"/>
            </w:tcMar>
          </w:tcPr>
          <w:p>
            <w:r>
              <w:rPr>
                <w:color w:val="50594F"/>
                <w:sz w:val="17"/>
                <w:szCs w:val="17"/>
              </w:rPr>
              <w:t xml:space="preserve">UC-024, UC-021, UC-023 (EMEA), UC-004</w:t>
            </w:r>
          </w:p>
        </w:tc>
      </w:tr>
    </w:tbl>
    <w:p>
      <w:pPr>
        <w:spacing w:after="260" w:before="80"/>
      </w:pPr>
      <w:r>
        <w:rPr>
          <w:i/>
          <w:iCs/>
          <w:color w:val="50594F"/>
          <w:sz w:val="18"/>
          <w:szCs w:val="18"/>
        </w:rPr>
        <w:t xml:space="preserve">Day rate = annual ÷ 252 working days; hourly rate = annual ÷ 2,016 hours (252 × 8 h). Figures rounded for display; calculations use unrounded rates.</w:t>
      </w:r>
    </w:p>
    <w:p>
      <w:pPr>
        <w:sectPr>
          <w:footerReference w:type="default" r:id="rId7"/>
          <w:pgSz w:w="12240" w:h="15840" w:orient="portrait"/>
          <w:pgMar w:top="900" w:right="1080" w:bottom="900" w:left="1080" w:header="708" w:footer="450" w:gutter="0"/>
          <w:pgNumType/>
          <w:docGrid w:linePitch="360"/>
        </w:sectPr>
      </w:pPr>
    </w:p>
    <w:p>
      <w:pPr>
        <w:spacing w:after="160" w:before="260"/>
      </w:pPr>
      <w:r>
        <w:rPr>
          <w:rFonts w:ascii="Arial" w:cs="Arial" w:eastAsia="Arial" w:hAnsi="Arial"/>
          <w:b/>
          <w:bCs/>
          <w:color w:val="1F5F45"/>
          <w:sz w:val="30"/>
          <w:szCs w:val="30"/>
        </w:rPr>
        <w:t xml:space="preserve">Summary comparison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168"/>
        <w:gridCol w:w="2880"/>
        <w:gridCol w:w="2160"/>
        <w:gridCol w:w="4320"/>
      </w:tblGrid>
      <w:tr>
        <w:trPr>
          <w:cantSplit/>
        </w:trPr>
        <w:tc>
          <w:tcPr>
            <w:tcW w:type="pct" w:w="13%"/>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Use case</w:t>
            </w:r>
          </w:p>
        </w:tc>
        <w:tc>
          <w:tcPr>
            <w:tcW w:type="pct" w:w="22%"/>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Effort (manual)</w:t>
            </w:r>
          </w:p>
        </w:tc>
        <w:tc>
          <w:tcPr>
            <w:tcW w:type="pct" w:w="2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Volume</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Current cost</w:t>
            </w:r>
          </w:p>
        </w:tc>
        <w:tc>
          <w:tcPr>
            <w:tcW w:type="pct" w:w="3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Key automation risk</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UC-024
FTE Calculations</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Quarterly consolidation: 2 working days + macro. Daily/monthly tracking effort not quantified.</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Monthly governance reporting (12/year) + quarterly 3-location consolidation (4/year) across Warsaw, Chennai and Ireland.</w:t>
            </w:r>
          </w:p>
        </w:tc>
        <w:tc>
          <w:tcPr>
            <w:tcW w:type="pct" w:w="15%"/>
            <w:tcBorders>
              <w:top w:val="single" w:color="D8DED8" w:sz="4"/>
              <w:left w:val="single" w:color="D8DED8" w:sz="4"/>
              <w:bottom w:val="single" w:color="D8DED8" w:sz="4"/>
              <w:right w:val="single" w:color="D8DED8" w:sz="4"/>
            </w:tcBorders>
            <w:shd w:fill="EAF2EC" w:val="clear"/>
            <w:tcMar>
              <w:top w:type="dxa" w:w="100"/>
              <w:left w:type="dxa" w:w="110"/>
              <w:bottom w:type="dxa" w:w="100"/>
              <w:right w:type="dxa" w:w="110"/>
            </w:tcMar>
          </w:tcPr>
          <w:p>
            <w:r>
              <w:rPr>
                <w:b/>
                <w:bCs/>
                <w:color w:val="1F5F45"/>
                <w:sz w:val="19"/>
                <w:szCs w:val="19"/>
              </w:rPr>
              <w:t xml:space="preserve">€3,069 / yr</w:t>
            </w:r>
          </w:p>
          <w:p>
            <w:r>
              <w:rPr>
                <w:i/>
                <w:iCs/>
                <w:color w:val="50594F"/>
                <w:sz w:val="15"/>
                <w:szCs w:val="15"/>
              </w:rPr>
              <w:t xml:space="preserve">Quarterly consolidation only; range €603–€6,984</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Rule-capture risk – mapping logic is currently tacit knowledge.</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UC-022
Client Trade File Processing</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60 minutes / day (HK).</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15 trade files / week.</w:t>
            </w:r>
          </w:p>
        </w:tc>
        <w:tc>
          <w:tcPr>
            <w:tcW w:type="pct" w:w="15%"/>
            <w:tcBorders>
              <w:top w:val="single" w:color="D8DED8" w:sz="4"/>
              <w:left w:val="single" w:color="D8DED8" w:sz="4"/>
              <w:bottom w:val="single" w:color="D8DED8" w:sz="4"/>
              <w:right w:val="single" w:color="D8DED8" w:sz="4"/>
            </w:tcBorders>
            <w:shd w:fill="EAF2EC" w:val="clear"/>
            <w:tcMar>
              <w:top w:type="dxa" w:w="100"/>
              <w:left w:type="dxa" w:w="110"/>
              <w:bottom w:type="dxa" w:w="100"/>
              <w:right w:type="dxa" w:w="110"/>
            </w:tcMar>
          </w:tcPr>
          <w:p>
            <w:r>
              <w:rPr>
                <w:b/>
                <w:bCs/>
                <w:color w:val="1F5F45"/>
                <w:sz w:val="19"/>
                <w:szCs w:val="19"/>
              </w:rPr>
              <w:t xml:space="preserve">€11,250 / yr</w:t>
            </w:r>
          </w:p>
          <w:p>
            <w:r>
              <w:rPr>
                <w:i/>
                <w:iCs/>
                <w:color w:val="50594F"/>
                <w:sz w:val="15"/>
                <w:szCs w:val="15"/>
              </w:rPr>
              <w:t xml:space="preserve">252 h × HK rate</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Selection-logic risk – mitigated by the retained human release gate.</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UC-021
AI-Generated Security Callback Scripts</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About 15 minutes per call for question generation.</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1,020 / year – EMEA (Warsaw); 895 / year – APAC (HK); 55 / year – America. Total: 1,970 / year.</w:t>
            </w:r>
          </w:p>
        </w:tc>
        <w:tc>
          <w:tcPr>
            <w:tcW w:type="pct" w:w="15%"/>
            <w:tcBorders>
              <w:top w:val="single" w:color="D8DED8" w:sz="4"/>
              <w:left w:val="single" w:color="D8DED8" w:sz="4"/>
              <w:bottom w:val="single" w:color="D8DED8" w:sz="4"/>
              <w:right w:val="single" w:color="D8DED8" w:sz="4"/>
            </w:tcBorders>
            <w:shd w:fill="EAF2EC" w:val="clear"/>
            <w:tcMar>
              <w:top w:type="dxa" w:w="100"/>
              <w:left w:type="dxa" w:w="110"/>
              <w:bottom w:type="dxa" w:w="100"/>
              <w:right w:type="dxa" w:w="110"/>
            </w:tcMar>
          </w:tcPr>
          <w:p>
            <w:r>
              <w:rPr>
                <w:b/>
                <w:bCs/>
                <w:color w:val="1F5F45"/>
                <w:sz w:val="19"/>
                <w:szCs w:val="19"/>
              </w:rPr>
              <w:t xml:space="preserve">€17,620 / yr</w:t>
            </w:r>
          </w:p>
          <w:p>
            <w:r>
              <w:rPr>
                <w:i/>
                <w:iCs/>
                <w:color w:val="50594F"/>
                <w:sz w:val="15"/>
                <w:szCs w:val="15"/>
              </w:rPr>
              <w:t xml:space="preserve">Warsaw + HK + US split</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Predictability risk – needs periodic quality audit of generated questions.</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UC-023
KYC Document Processing</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10 min / doc (GRID prep only)—see note below on unlabelled “10 secs/doc” figure.</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180 / month total – HK: 100, EMEA (Ireland/Poland): 60, America: 20.</w:t>
            </w:r>
          </w:p>
        </w:tc>
        <w:tc>
          <w:tcPr>
            <w:tcW w:type="pct" w:w="15%"/>
            <w:tcBorders>
              <w:top w:val="single" w:color="D8DED8" w:sz="4"/>
              <w:left w:val="single" w:color="D8DED8" w:sz="4"/>
              <w:bottom w:val="single" w:color="D8DED8" w:sz="4"/>
              <w:right w:val="single" w:color="D8DED8" w:sz="4"/>
            </w:tcBorders>
            <w:shd w:fill="EAF2EC" w:val="clear"/>
            <w:tcMar>
              <w:top w:type="dxa" w:w="100"/>
              <w:left w:type="dxa" w:w="110"/>
              <w:bottom w:type="dxa" w:w="100"/>
              <w:right w:type="dxa" w:w="110"/>
            </w:tcMar>
          </w:tcPr>
          <w:p>
            <w:r>
              <w:rPr>
                <w:b/>
                <w:bCs/>
                <w:color w:val="1F5F45"/>
                <w:sz w:val="19"/>
                <w:szCs w:val="19"/>
              </w:rPr>
              <w:t xml:space="preserve">€20,427 / yr</w:t>
            </w:r>
          </w:p>
          <w:p>
            <w:r>
              <w:rPr>
                <w:i/>
                <w:iCs/>
                <w:color w:val="50594F"/>
                <w:sz w:val="15"/>
                <w:szCs w:val="15"/>
              </w:rPr>
              <w:t xml:space="preserve">Range €15,397–€25,456 (EMEA split)</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Extraction-error risk – highest data sensitivity of the five (KYC/AML).</w:t>
            </w:r>
          </w:p>
        </w:tc>
      </w:tr>
      <w:tr>
        <w:trPr>
          <w:cantSplit/>
        </w:trPr>
        <w:tc>
          <w:tcPr>
            <w:tcW w:type="pct" w:w="13%"/>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UC-004
Client Invoice Payment Processing</w:t>
            </w:r>
          </w:p>
        </w:tc>
        <w:tc>
          <w:tcPr>
            <w:tcW w:type="pct" w:w="2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5.0 FTE/year (1.5 Ireland + 3.5 Warsaw).</w:t>
            </w:r>
          </w:p>
        </w:tc>
        <w:tc>
          <w:tcPr>
            <w:tcW w:type="pct" w:w="2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5,800 invoices / year.</w:t>
            </w:r>
          </w:p>
        </w:tc>
        <w:tc>
          <w:tcPr>
            <w:tcW w:type="pct" w:w="15%"/>
            <w:tcBorders>
              <w:top w:val="single" w:color="D8DED8" w:sz="4"/>
              <w:left w:val="single" w:color="D8DED8" w:sz="4"/>
              <w:bottom w:val="single" w:color="D8DED8" w:sz="4"/>
              <w:right w:val="single" w:color="D8DED8" w:sz="4"/>
            </w:tcBorders>
            <w:shd w:fill="EAF2EC" w:val="clear"/>
            <w:tcMar>
              <w:top w:type="dxa" w:w="100"/>
              <w:left w:type="dxa" w:w="110"/>
              <w:bottom w:type="dxa" w:w="100"/>
              <w:right w:type="dxa" w:w="110"/>
            </w:tcMar>
          </w:tcPr>
          <w:p>
            <w:r>
              <w:rPr>
                <w:b/>
                <w:bCs/>
                <w:color w:val="1F5F45"/>
                <w:sz w:val="19"/>
                <w:szCs w:val="19"/>
              </w:rPr>
              <w:t xml:space="preserve">€508,500 / yr</w:t>
            </w:r>
          </w:p>
          <w:p>
            <w:r>
              <w:rPr>
                <w:i/>
                <w:iCs/>
                <w:color w:val="50594F"/>
                <w:sz w:val="15"/>
                <w:szCs w:val="15"/>
              </w:rPr>
              <w:t xml:space="preserve">1.5 FTE Ireland + 3.5 FTE Warsaw</w:t>
            </w:r>
          </w:p>
        </w:tc>
        <w:tc>
          <w:tcPr>
            <w:tcW w:type="pct" w:w="3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Largest financial exposure – 4-eye review must stay a genuine control.</w:t>
            </w:r>
          </w:p>
        </w:tc>
      </w:tr>
    </w:tbl>
    <w:p>
      <w:pPr>
        <w:spacing w:after="260" w:before="100"/>
      </w:pPr>
      <w:r>
        <w:rPr>
          <w:i/>
          <w:iCs/>
          <w:color w:val="50594F"/>
          <w:sz w:val="18"/>
          <w:szCs w:val="18"/>
        </w:rPr>
        <w:t xml:space="preserve">Total quantified current cost ≈ €560,865 / year (UC-004 ≈ 91%). Current cost uses the fully-loaded annual rates by location in the Rate basis table (page 1), converted at 2,016 hours (252 days × 8 h) per FTE-year. UC-024 covers the quarterly consolidation only; UC-023 uses a 50/50 Ireland/Poland split for EMEA – see each use case for its range.</w:t>
      </w:r>
    </w:p>
    <w:p>
      <w:pPr>
        <w:spacing w:after="160" w:before="260"/>
      </w:pPr>
      <w:r>
        <w:rPr>
          <w:rFonts w:ascii="Arial" w:cs="Arial" w:eastAsia="Arial" w:hAnsi="Arial"/>
          <w:b/>
          <w:bCs/>
          <w:color w:val="1F5F45"/>
          <w:sz w:val="30"/>
          <w:szCs w:val="30"/>
        </w:rPr>
        <w:t xml:space="preserve">Summary comparison – build effort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8"/>
        <w:gridCol w:w="2160"/>
        <w:gridCol w:w="2160"/>
        <w:gridCol w:w="2160"/>
        <w:gridCol w:w="2160"/>
        <w:gridCol w:w="1440"/>
        <w:gridCol w:w="2592"/>
      </w:tblGrid>
      <w:tr>
        <w:trPr>
          <w:cantSplit/>
        </w:trPr>
        <w:tc>
          <w:tcPr>
            <w:tcW w:type="pct" w:w="12%"/>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Use case</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Governance effort</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Infra setup</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Development effort</w:t>
            </w:r>
          </w:p>
        </w:tc>
        <w:tc>
          <w:tcPr>
            <w:tcW w:type="pct" w:w="15%"/>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QA</w:t>
            </w:r>
          </w:p>
        </w:tc>
        <w:tc>
          <w:tcPr>
            <w:tcW w:type="pct" w:w="1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Overall</w:t>
            </w:r>
          </w:p>
        </w:tc>
        <w:tc>
          <w:tcPr>
            <w:tcW w:type="pct" w:w="18%"/>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IT governance</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UC-024
FTE Calculations</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None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Small</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No IT Governance needed</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UC-022
Client Trade File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ITSVC needed</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UC-021
AI-Generated Security Callback Scripts</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Small</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UC-023
KYC Document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Medium–Large</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Medium</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r>
        <w:trPr>
          <w:cantSplit/>
        </w:trPr>
        <w:tc>
          <w:tcPr>
            <w:tcW w:type="pct" w:w="12%"/>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UC-004
Client Invoice Payment Processing</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5%"/>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Large</w:t>
            </w:r>
          </w:p>
        </w:tc>
        <w:tc>
          <w:tcPr>
            <w:tcW w:type="pct" w:w="1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Large</w:t>
            </w:r>
          </w:p>
        </w:tc>
        <w:tc>
          <w:tcPr>
            <w:tcW w:type="pct" w:w="18%"/>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bCs/>
                <w:i w:val="false"/>
                <w:iCs w:val="false"/>
                <w:color w:val="1F2B24"/>
                <w:sz w:val="17"/>
                <w:szCs w:val="17"/>
              </w:rPr>
              <w:t xml:space="preserve">Single AI Governance + ITSVC</w:t>
            </w:r>
          </w:p>
        </w:tc>
      </w:tr>
    </w:tbl>
    <w:p>
      <w:pPr>
        <w:spacing w:before="100"/>
      </w:pPr>
      <w:r>
        <w:rPr>
          <w:i/>
          <w:iCs/>
          <w:color w:val="50594F"/>
          <w:sz w:val="18"/>
          <w:szCs w:val="18"/>
        </w:rPr>
        <w:t xml:space="preserve">Governance effort, Infra setup, Development effort and QA are directional T-shirt sizes for planning discussion, not committed estimates – see each use case's own section for the rationale behind its sizing.</w:t>
      </w:r>
    </w:p>
    <w:p>
      <w:pPr>
        <w:sectPr>
          <w:footerReference w:type="default" r:id="rId8"/>
          <w:pgSz w:w="12240" w:h="15840" w:orient="landscape"/>
          <w:pgMar w:top="720" w:right="720" w:bottom="720" w:left="720" w:header="708" w:footer="360" w:gutter="0"/>
          <w:pgNumType/>
          <w:docGrid w:linePitch="360"/>
        </w:sectPr>
      </w:pPr>
    </w:p>
    <w:p>
      <w:pPr>
        <w:spacing w:after="160" w:before="260"/>
      </w:pPr>
      <w:r>
        <w:rPr>
          <w:rFonts w:ascii="Arial" w:cs="Arial" w:eastAsia="Arial" w:hAnsi="Arial"/>
          <w:b/>
          <w:bCs/>
          <w:color w:val="1F5F45"/>
          <w:sz w:val="30"/>
          <w:szCs w:val="30"/>
        </w:rPr>
        <w:t xml:space="preserve">UC-024 – FTE Calculations</w:t>
      </w:r>
    </w:p>
    <w:p>
      <w:pPr>
        <w:spacing w:after="160"/>
      </w:pPr>
      <w:r>
        <w:rPr>
          <w:i/>
          <w:iCs/>
          <w:color w:val="50594F"/>
          <w:sz w:val="19"/>
          <w:szCs w:val="19"/>
        </w:rPr>
        <w:t xml:space="preserve">TA Operations   ·   Owner: Kate McDermott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Trade FTE is tracked manually every day as trades are entered; monthly governance reporting is produced from that daily input.</w:t>
      </w:r>
    </w:p>
    <w:p>
      <w:pPr>
        <w:pStyle w:val="ListParagraph"/>
        <w:numPr>
          <w:ilvl w:val="0"/>
          <w:numId w:val="1"/>
        </w:numPr>
        <w:spacing w:after="60"/>
      </w:pPr>
      <w:r>
        <w:rPr>
          <w:color w:val="1F2B24"/>
          <w:sz w:val="21"/>
          <w:szCs w:val="21"/>
        </w:rPr>
        <w:t xml:space="preserve">A quarterly 3-location consolidation combines FTE across Warsaw, Chennai and Ireland (per client, team and location) using a macro.</w:t>
      </w:r>
    </w:p>
    <w:p>
      <w:pPr>
        <w:pStyle w:val="ListParagraph"/>
        <w:numPr>
          <w:ilvl w:val="0"/>
          <w:numId w:val="1"/>
        </w:numPr>
        <w:spacing w:after="60"/>
      </w:pPr>
      <w:r>
        <w:rPr>
          <w:color w:val="1F2B24"/>
          <w:sz w:val="21"/>
          <w:szCs w:val="21"/>
        </w:rPr>
        <w:t xml:space="preserve">The quarterly consolidation is frequently challenged, causing extra meetings and delayed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Quarterly consolidation confirmed at 2 working days per occurrence, using a macro. Daily/monthly effort to pull the Warsaw &amp; Chennai figures is described but not quantified in hours.</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Monthly governance reporting (12/year) + quarterly 3-location consolidation (4/year) across Warsaw, Chennai and Ireland.</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Quarterly consolidation only: 2 person-days × 4 = 8 person-days / year. Excludes the daily tracking and monthly reporting effort, which is described but not quantified.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Refreshed 20 Aug 2026 with fuller detail (three locations, daily/monthly/quarterly cadence) that replaces the earlier “7 days Warsaw + 7 days Dublin, monthly” note – confirm with the process owner which figure is now agreed.</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Main risk: wrong calculations if done manually, since it is done over multiple Excel extracts with inconsistent naming conventions across teams. Automating would also enable global FTE tracking (currently EMEA-only) and could extend to monthly MI and other internal reporting.</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1F5F45" w:sz="4"/>
              <w:left w:val="single" w:color="1F5F45" w:sz="16"/>
              <w:bottom w:val="single" w:color="1F5F45" w:sz="4"/>
              <w:right w:val="single" w:color="1F5F45" w:sz="4"/>
            </w:tcBorders>
            <w:shd w:fill="EAF2EC" w:val="clear"/>
            <w:tcMar>
              <w:top w:type="dxa" w:w="90"/>
              <w:left w:type="dxa" w:w="160"/>
              <w:bottom w:type="dxa" w:w="90"/>
              <w:right w:type="dxa" w:w="160"/>
            </w:tcMar>
          </w:tcPr>
          <w:p>
            <w:pPr>
              <w:spacing w:after="40"/>
            </w:pPr>
            <w:r>
              <w:rPr>
                <w:b/>
                <w:bCs/>
                <w:color w:val="AD5A3E"/>
                <w:sz w:val="18"/>
                <w:szCs w:val="18"/>
              </w:rPr>
              <w:t xml:space="preserve">CALCULATED</w:t>
            </w:r>
          </w:p>
          <w:p>
            <w:r>
              <w:rPr>
                <w:color w:val="1F2B24"/>
                <w:sz w:val="20"/>
                <w:szCs w:val="20"/>
              </w:rPr>
              <w:t xml:space="preserve">8 person-days/year × blended day rate (equal weight Warsaw €202 / Chennai €75 / Ireland €873 = €384/day) ≈ €3,069 / year. Range €603 (all Chennai) to €6,984 (all Ireland) depending on who performs the consolidation. This covers the quarterly consolidation only – the daily tracking and monthly reporting effort is still unquantified, so the true cost is higher.</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Rule-capture risk – the mapping logic currently exists as tacit knowledge; an incorrect rule could misstate FTE consistently across every fund until caught.</w:t>
      </w:r>
    </w:p>
    <w:p>
      <w:pPr>
        <w:pStyle w:val="ListParagraph"/>
        <w:numPr>
          <w:ilvl w:val="0"/>
          <w:numId w:val="1"/>
        </w:numPr>
        <w:spacing w:after="60"/>
      </w:pPr>
      <w:r>
        <w:rPr>
          <w:color w:val="1F2B24"/>
          <w:sz w:val="21"/>
          <w:szCs w:val="21"/>
        </w:rPr>
        <w:t xml:space="preserve">Format drift – if the NTAS extract layout changes, a silent failure could produce a wrong number rather than an obvious error; needs schema validation on ingest.</w:t>
      </w:r>
    </w:p>
    <w:p>
      <w:pPr>
        <w:pStyle w:val="ListParagraph"/>
        <w:numPr>
          <w:ilvl w:val="0"/>
          <w:numId w:val="1"/>
        </w:numPr>
        <w:spacing w:after="60"/>
      </w:pPr>
      <w:r>
        <w:rPr>
          <w:color w:val="1F2B24"/>
          <w:sz w:val="21"/>
          <w:szCs w:val="21"/>
        </w:rPr>
        <w:t xml:space="preserve">Low model risk – this is fundamentally deterministic/rule-based, not LLM extraction, so the main exposure is requirements accuracy, not hallucination.</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Small overall</w:t>
      </w:r>
    </w:p>
    <w:p>
      <w:pPr>
        <w:spacing w:after="110"/>
      </w:pPr>
      <w:r>
        <w:rPr>
          <w:color w:val="1F2B24"/>
          <w:sz w:val="21"/>
          <w:szCs w:val="21"/>
        </w:rPr>
        <w:t xml:space="preserve">Internal calculation only, no external system writes, no document extraction. No dependency on the shared LLM integration layer. Scope now confirmed across three locations (Warsaw, Chennai, Ireland) rather than two, but this remains a self-contained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None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UC-022 – Client Trade File Processing</w:t>
      </w:r>
    </w:p>
    <w:p>
      <w:pPr>
        <w:spacing w:after="160"/>
      </w:pPr>
      <w:r>
        <w:rPr>
          <w:i/>
          <w:iCs/>
          <w:color w:val="50594F"/>
          <w:sz w:val="19"/>
          <w:szCs w:val="19"/>
        </w:rPr>
        <w:t xml:space="preserve">FA / MO Operations   ·   Owner: Ruairi Scullion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The SFTP site is checked manually and periodically through the day for new Client Trade Files (CSV format).</w:t>
      </w:r>
    </w:p>
    <w:p>
      <w:pPr>
        <w:pStyle w:val="ListParagraph"/>
        <w:numPr>
          <w:ilvl w:val="0"/>
          <w:numId w:val="1"/>
        </w:numPr>
        <w:spacing w:after="60"/>
      </w:pPr>
      <w:r>
        <w:rPr>
          <w:color w:val="1F2B24"/>
          <w:sz w:val="21"/>
          <w:szCs w:val="21"/>
        </w:rPr>
        <w:t xml:space="preserve">Relevant trade rows are identified manually against two criteria (BNP Custody entity code and transaction type), then copied into a macro (“UG Format Macro v11”).</w:t>
      </w:r>
    </w:p>
    <w:p>
      <w:pPr>
        <w:pStyle w:val="ListParagraph"/>
        <w:numPr>
          <w:ilvl w:val="0"/>
          <w:numId w:val="1"/>
        </w:numPr>
        <w:spacing w:after="60"/>
      </w:pPr>
      <w:r>
        <w:rPr>
          <w:color w:val="1F2B24"/>
          <w:sz w:val="21"/>
          <w:szCs w:val="21"/>
        </w:rPr>
        <w:t xml:space="preserve">The macro reformats the trade file into the Neolink upload format.</w:t>
      </w:r>
    </w:p>
    <w:p>
      <w:pPr>
        <w:pStyle w:val="ListParagraph"/>
        <w:numPr>
          <w:ilvl w:val="0"/>
          <w:numId w:val="1"/>
        </w:numPr>
        <w:spacing w:after="60"/>
      </w:pPr>
      <w:r>
        <w:rPr>
          <w:color w:val="1F2B24"/>
          <w:sz w:val="21"/>
          <w:szCs w:val="21"/>
        </w:rPr>
        <w:t xml:space="preserve">The team manually logs into Neolink, uploads the reformatted file, and a reviewer releases the trades to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60 minutes / day (HK).</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15 trade files / week.</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60 min/day × ~252 working days/year (5-day week, allowing for holidays) ≈ 252 hours /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Assumes a working-day count of ~252/year – confirm with the team if actual coverage differs.</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Final release to market is done by a human, so the 4-eye check (human in the loop) is done there.</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1F5F45" w:sz="4"/>
              <w:left w:val="single" w:color="1F5F45" w:sz="16"/>
              <w:bottom w:val="single" w:color="1F5F45" w:sz="4"/>
              <w:right w:val="single" w:color="1F5F45" w:sz="4"/>
            </w:tcBorders>
            <w:shd w:fill="EAF2EC" w:val="clear"/>
            <w:tcMar>
              <w:top w:type="dxa" w:w="90"/>
              <w:left w:type="dxa" w:w="160"/>
              <w:bottom w:type="dxa" w:w="90"/>
              <w:right w:type="dxa" w:w="160"/>
            </w:tcMar>
          </w:tcPr>
          <w:p>
            <w:pPr>
              <w:spacing w:after="40"/>
            </w:pPr>
            <w:r>
              <w:rPr>
                <w:b/>
                <w:bCs/>
                <w:color w:val="AD5A3E"/>
                <w:sz w:val="18"/>
                <w:szCs w:val="18"/>
              </w:rPr>
              <w:t xml:space="preserve">CALCULATED</w:t>
            </w:r>
          </w:p>
          <w:p>
            <w:r>
              <w:rPr>
                <w:color w:val="1F2B24"/>
                <w:sz w:val="20"/>
                <w:szCs w:val="20"/>
              </w:rPr>
              <w:t xml:space="preserve">252 hours/year × HK €44.64/hour = €11,250 / year (equivalent to 0.125 FTE at the €90,000 HK annual rate).</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Selection-logic risk – incorrect rule-based trade-line selection could push bad data into Neolink; mitigated by keeping the final human review/release gate.</w:t>
      </w:r>
    </w:p>
    <w:p>
      <w:pPr>
        <w:pStyle w:val="ListParagraph"/>
        <w:numPr>
          <w:ilvl w:val="0"/>
          <w:numId w:val="1"/>
        </w:numPr>
        <w:spacing w:after="60"/>
      </w:pPr>
      <w:r>
        <w:rPr>
          <w:color w:val="1F2B24"/>
          <w:sz w:val="21"/>
          <w:szCs w:val="21"/>
        </w:rPr>
        <w:t xml:space="preserve">Silent failure risk – client-side file format drift breaking the parser needs active monitoring/alerting, not a silent skip.</w:t>
      </w:r>
    </w:p>
    <w:p>
      <w:pPr>
        <w:pStyle w:val="ListParagraph"/>
        <w:numPr>
          <w:ilvl w:val="0"/>
          <w:numId w:val="1"/>
        </w:numPr>
        <w:spacing w:after="60"/>
      </w:pPr>
      <w:r>
        <w:rPr>
          <w:color w:val="1F2B24"/>
          <w:sz w:val="21"/>
          <w:szCs w:val="21"/>
        </w:rPr>
        <w:t xml:space="preserve">Notification failure – if the completion email fails to send, files could sit unreviewed and unnoticed; needs a dead-letter / monitoring path.</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Deterministic automation, one system integration (Neolink), no LLM/model risk to manage.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UC-021 – AI-Generated Security Callback Scripts</w:t>
      </w:r>
    </w:p>
    <w:p>
      <w:pPr>
        <w:spacing w:after="160"/>
      </w:pPr>
      <w:r>
        <w:rPr>
          <w:i/>
          <w:iCs/>
          <w:color w:val="50594F"/>
          <w:sz w:val="19"/>
          <w:szCs w:val="19"/>
        </w:rPr>
        <w:t xml:space="preserve">TA Operations / BCIM   ·   Owner: Kate McDermott   ·   Portfolio tier: Quick Win</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Security callback questions for verifying investor bank-detail changes are drafted manually for every scenario (static data updates, large-amount transactions, duplicate/ambiguous instructions, original vs. post-received instructions).</w:t>
      </w:r>
    </w:p>
    <w:p>
      <w:pPr>
        <w:pStyle w:val="ListParagraph"/>
        <w:numPr>
          <w:ilvl w:val="0"/>
          <w:numId w:val="1"/>
        </w:numPr>
        <w:spacing w:after="60"/>
      </w:pPr>
      <w:r>
        <w:rPr>
          <w:color w:val="1F2B24"/>
          <w:sz w:val="21"/>
          <w:szCs w:val="21"/>
        </w:rPr>
        <w:t xml:space="preserve">Following the call, the team manually prepares post-call documentation and updates the COMBO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About 15 minutes per call for question generation.</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1,020 / year – EMEA (Warsaw); 895 / year – APAC (HK); 55 / year – America. Total: 1,970 / year.</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1,970 calls/year × 15 min = 29,550 min ≈ 492.5 hours /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Volume is split across three regions with likely different hourly rates – a blended total will need a regional breakdown to cost accurately.</w:t>
            </w:r>
          </w:p>
        </w:tc>
      </w:tr>
    </w:tbl>
    <w:p>
      <w:pPr>
        <w:spacing w:after="50" w:before="120"/>
      </w:pPr>
      <w:r>
        <w:rPr>
          <w:b/>
          <w:bCs/>
          <w:color w:val="B98A2E"/>
          <w:sz w:val="19"/>
          <w:szCs w:val="19"/>
        </w:rPr>
        <w:t xml:space="preserve">ESTIMATED BENEFIT</w:t>
      </w:r>
    </w:p>
    <w:p>
      <w:pPr>
        <w:spacing w:after="110"/>
      </w:pPr>
      <w:r>
        <w:rPr>
          <w:color w:val="1F2B24"/>
          <w:sz w:val="21"/>
          <w:szCs w:val="21"/>
        </w:rPr>
        <w:t xml:space="preserve">0.27 FTE saving (source: UC-021 solution deck) ≈ €19,474 / year, valued at the volume-weighted blended rate for this process (€72,124 per FTE-year). Note: 0.27 FTE is slightly above the 0.24 FTE of question-generation effort costed below, so the deck's saving presumably also covers post-call documentation – confirm the scope before treating it as additive.</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1F5F45" w:sz="4"/>
              <w:left w:val="single" w:color="1F5F45" w:sz="16"/>
              <w:bottom w:val="single" w:color="1F5F45" w:sz="4"/>
              <w:right w:val="single" w:color="1F5F45" w:sz="4"/>
            </w:tcBorders>
            <w:shd w:fill="EAF2EC" w:val="clear"/>
            <w:tcMar>
              <w:top w:type="dxa" w:w="90"/>
              <w:left w:type="dxa" w:w="160"/>
              <w:bottom w:type="dxa" w:w="90"/>
              <w:right w:type="dxa" w:w="160"/>
            </w:tcMar>
          </w:tcPr>
          <w:p>
            <w:pPr>
              <w:spacing w:after="40"/>
            </w:pPr>
            <w:r>
              <w:rPr>
                <w:b/>
                <w:bCs/>
                <w:color w:val="AD5A3E"/>
                <w:sz w:val="18"/>
                <w:szCs w:val="18"/>
              </w:rPr>
              <w:t xml:space="preserve">CALCULATED</w:t>
            </w:r>
          </w:p>
          <w:p>
            <w:r>
              <w:rPr>
                <w:color w:val="1F2B24"/>
                <w:sz w:val="20"/>
                <w:szCs w:val="20"/>
              </w:rPr>
              <w:t xml:space="preserve">Warsaw: 255 h × €25.30 = €6,451. Hong Kong: 223.75 h × €44.64 = €9,989. America: 13.75 h × €85.81 = €1,180. Total ≈ €17,620 / year for question generation (492.5 h, ≈0.24 FTE; volume-weighted blended rate €35.78/hour).</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Predictability risk – if generated questions fall into guessable patterns, fraud-prevention value degrades; needs periodic quality audit against a control set.</w:t>
      </w:r>
    </w:p>
    <w:p>
      <w:pPr>
        <w:pStyle w:val="ListParagraph"/>
        <w:numPr>
          <w:ilvl w:val="0"/>
          <w:numId w:val="1"/>
        </w:numPr>
        <w:spacing w:after="60"/>
      </w:pPr>
      <w:r>
        <w:rPr>
          <w:color w:val="1F2B24"/>
          <w:sz w:val="21"/>
          <w:szCs w:val="21"/>
        </w:rPr>
        <w:t xml:space="preserve">Hallucination risk – lower than document-extraction use cases since a human reads the output live, but scenario misinterpretation could still produce a nonsensical question; consider template-locking the structure.</w:t>
      </w:r>
    </w:p>
    <w:p>
      <w:pPr>
        <w:pStyle w:val="ListParagraph"/>
        <w:numPr>
          <w:ilvl w:val="0"/>
          <w:numId w:val="1"/>
        </w:numPr>
        <w:spacing w:after="60"/>
      </w:pPr>
      <w:r>
        <w:rPr>
          <w:color w:val="1F2B24"/>
          <w:sz w:val="21"/>
          <w:szCs w:val="21"/>
        </w:rPr>
        <w:t xml:space="preserve">This sits in a fraud-control workflow, so output quality drift has a direct security consequence, not just an efficiency one.</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No system integration – COMBO updates remain a manual copy-paste. Uses the Generation capability of the shared LLM integration layer. Scope is broader than first scoped: four distinct scenario-specific prompts plus post-call documentation generation, rather than a single prompt – development effort below reflects that.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Small</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UC-023 – KYC Document Processing</w:t>
      </w:r>
    </w:p>
    <w:p>
      <w:pPr>
        <w:spacing w:after="160"/>
      </w:pPr>
      <w:r>
        <w:rPr>
          <w:i/>
          <w:iCs/>
          <w:color w:val="50594F"/>
          <w:sz w:val="19"/>
          <w:szCs w:val="19"/>
        </w:rPr>
        <w:t xml:space="preserve">FA Operations   ·   Owner: Unassigned   ·   Portfolio tier: Strategic Priority</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Certified KYC documents arrive by email as individual PDFs.</w:t>
      </w:r>
    </w:p>
    <w:p>
      <w:pPr>
        <w:pStyle w:val="ListParagraph"/>
        <w:numPr>
          <w:ilvl w:val="0"/>
          <w:numId w:val="1"/>
        </w:numPr>
        <w:spacing w:after="60"/>
      </w:pPr>
      <w:r>
        <w:rPr>
          <w:color w:val="1F2B24"/>
          <w:sz w:val="21"/>
          <w:szCs w:val="21"/>
        </w:rPr>
        <w:t xml:space="preserve">A team member manually enters details into an NTAS GRID loader file.</w:t>
      </w:r>
    </w:p>
    <w:p>
      <w:pPr>
        <w:pStyle w:val="ListParagraph"/>
        <w:numPr>
          <w:ilvl w:val="0"/>
          <w:numId w:val="1"/>
        </w:numPr>
        <w:spacing w:after="60"/>
      </w:pPr>
      <w:r>
        <w:rPr>
          <w:color w:val="1F2B24"/>
          <w:sz w:val="21"/>
          <w:szCs w:val="21"/>
        </w:rPr>
        <w:t xml:space="preserve">A second person (checker) reviews before upload – existing maker-checker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10 minutes / document for GRID preparation only (marked with an asterisk in the notes – possibly referencing a footnote not captured in the photo; confirm). A second figure, “10 secs/doc,” is also noted with no label – meaning unclear, possibly a target automated-processing time; confirm before using.</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180 / month total – HK: 100, EMEA (Ireland/Poland): 60, America: 20.</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180/month × 12 × 10 min = 21,600 min ≈ 360 hours / year (GRID preparation only – excludes checker review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Excludes the checker's review time, which is not quantified in the notes.</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Grid file is reviewed by human as it is done now – i.e. the maker-checker control is already in place today and is intended to be retained.</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1F5F45" w:sz="4"/>
              <w:left w:val="single" w:color="1F5F45" w:sz="16"/>
              <w:bottom w:val="single" w:color="1F5F45" w:sz="4"/>
              <w:right w:val="single" w:color="1F5F45" w:sz="4"/>
            </w:tcBorders>
            <w:shd w:fill="EAF2EC" w:val="clear"/>
            <w:tcMar>
              <w:top w:type="dxa" w:w="90"/>
              <w:left w:type="dxa" w:w="160"/>
              <w:bottom w:type="dxa" w:w="90"/>
              <w:right w:type="dxa" w:w="160"/>
            </w:tcMar>
          </w:tcPr>
          <w:p>
            <w:pPr>
              <w:spacing w:after="40"/>
            </w:pPr>
            <w:r>
              <w:rPr>
                <w:b/>
                <w:bCs/>
                <w:color w:val="AD5A3E"/>
                <w:sz w:val="18"/>
                <w:szCs w:val="18"/>
              </w:rPr>
              <w:t xml:space="preserve">CALCULATED</w:t>
            </w:r>
          </w:p>
          <w:p>
            <w:r>
              <w:rPr>
                <w:color w:val="1F2B24"/>
                <w:sz w:val="20"/>
                <w:szCs w:val="20"/>
              </w:rPr>
              <w:t xml:space="preserve">Hong Kong: 200 h × €44.64 = €8,929. America: 40 h × €85.81 = €3,433. EMEA: 120 h – €3,036 if all Poland, €13,095 if all Ireland, €8,065 at a 50/50 split. Total ≈ €20,427 / year at 50/50 (range €15,397–€25,456). GRID preparation only – excludes checker review time.</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Extraction-error risk – incorrect field extraction (name, DOB, ID numbers) could reach NTAS if the maker doesn't catch it; automation bias (rubber-stamping AI output over time) is a real residual risk worth monitoring, not just designing around.</w:t>
      </w:r>
    </w:p>
    <w:p>
      <w:pPr>
        <w:pStyle w:val="ListParagraph"/>
        <w:numPr>
          <w:ilvl w:val="0"/>
          <w:numId w:val="1"/>
        </w:numPr>
        <w:spacing w:after="60"/>
      </w:pPr>
      <w:r>
        <w:rPr>
          <w:color w:val="1F2B24"/>
          <w:sz w:val="21"/>
          <w:szCs w:val="21"/>
        </w:rPr>
        <w:t xml:space="preserve">Low-confidence documents – poor scan quality needs an explicit “flag for full manual review” path rather than forcing an extraction.</w:t>
      </w:r>
    </w:p>
    <w:p>
      <w:pPr>
        <w:pStyle w:val="ListParagraph"/>
        <w:numPr>
          <w:ilvl w:val="0"/>
          <w:numId w:val="1"/>
        </w:numPr>
        <w:spacing w:after="60"/>
      </w:pPr>
      <w:r>
        <w:rPr>
          <w:color w:val="1F2B24"/>
          <w:sz w:val="21"/>
          <w:szCs w:val="21"/>
        </w:rPr>
        <w:t xml:space="preserve">Highest data sensitivity on this list – KYC/AML data handling, retention and residency with whichever model provider is used needs its own sign-off, separate from the general architecture review.</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Medium overall</w:t>
      </w:r>
    </w:p>
    <w:p>
      <w:pPr>
        <w:spacing w:after="110"/>
      </w:pPr>
      <w:r>
        <w:rPr>
          <w:color w:val="1F2B24"/>
          <w:sz w:val="21"/>
          <w:szCs w:val="21"/>
        </w:rPr>
        <w:t xml:space="preserve">LLM extraction + schema design + NTAS GRID file generation + maker-checker flow. Cost falls if it reuses the shared LLM integration layer already built for UC-004.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Medium–Large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UC-004 – Client Invoice Payment Processing</w:t>
      </w:r>
    </w:p>
    <w:p>
      <w:pPr>
        <w:spacing w:after="160"/>
      </w:pPr>
      <w:r>
        <w:rPr>
          <w:i/>
          <w:iCs/>
          <w:color w:val="50594F"/>
          <w:sz w:val="19"/>
          <w:szCs w:val="19"/>
        </w:rPr>
        <w:t xml:space="preserve">FA Operations   ·   Owner: Steve Smyth   ·   Portfolio tier: Strategic Priority</w:t>
      </w:r>
    </w:p>
    <w:p>
      <w:pPr>
        <w:spacing w:after="50" w:before="120"/>
      </w:pPr>
      <w:r>
        <w:rPr>
          <w:b/>
          <w:bCs/>
          <w:color w:val="B98A2E"/>
          <w:sz w:val="19"/>
          <w:szCs w:val="19"/>
        </w:rPr>
        <w:t xml:space="preserve">EFFORT TAKEN NOW (MANUAL)</w:t>
      </w:r>
    </w:p>
    <w:p>
      <w:pPr>
        <w:pStyle w:val="ListParagraph"/>
        <w:numPr>
          <w:ilvl w:val="0"/>
          <w:numId w:val="1"/>
        </w:numPr>
        <w:spacing w:after="60"/>
      </w:pPr>
      <w:r>
        <w:rPr>
          <w:color w:val="1F2B24"/>
          <w:sz w:val="21"/>
          <w:szCs w:val="21"/>
        </w:rPr>
        <w:t xml:space="preserve">Manual review of incoming client invoice emails.</w:t>
      </w:r>
    </w:p>
    <w:p>
      <w:pPr>
        <w:pStyle w:val="ListParagraph"/>
        <w:numPr>
          <w:ilvl w:val="0"/>
          <w:numId w:val="1"/>
        </w:numPr>
        <w:spacing w:after="60"/>
      </w:pPr>
      <w:r>
        <w:rPr>
          <w:color w:val="1F2B24"/>
          <w:sz w:val="21"/>
          <w:szCs w:val="21"/>
        </w:rPr>
        <w:t xml:space="preserve">Manual entry into Neolink with 4-eye review.</w:t>
      </w:r>
    </w:p>
    <w:p>
      <w:pPr>
        <w:pStyle w:val="ListParagraph"/>
        <w:numPr>
          <w:ilvl w:val="0"/>
          <w:numId w:val="1"/>
        </w:numPr>
        <w:spacing w:after="60"/>
      </w:pPr>
      <w:r>
        <w:rPr>
          <w:color w:val="1F2B24"/>
          <w:sz w:val="21"/>
          <w:szCs w:val="21"/>
        </w:rPr>
        <w:t xml:space="preserve">Manual entry into the FA system (Geneva).</w:t>
      </w:r>
    </w:p>
    <w:p>
      <w:pPr>
        <w:pStyle w:val="ListParagraph"/>
        <w:numPr>
          <w:ilvl w:val="0"/>
          <w:numId w:val="1"/>
        </w:numPr>
        <w:spacing w:after="60"/>
      </w:pPr>
      <w:r>
        <w:rPr>
          <w:color w:val="1F2B24"/>
          <w:sz w:val="21"/>
          <w:szCs w:val="21"/>
        </w:rPr>
        <w:t xml:space="preserve">Manual entry into the NAV control pack.</w:t>
      </w:r>
    </w:p>
    <w:p>
      <w:pPr>
        <w:pStyle w:val="ListParagraph"/>
        <w:numPr>
          <w:ilvl w:val="0"/>
          <w:numId w:val="1"/>
        </w:numPr>
        <w:spacing w:after="60"/>
      </w:pPr>
      <w:r>
        <w:rPr>
          <w:color w:val="1F2B24"/>
          <w:sz w:val="21"/>
          <w:szCs w:val="21"/>
        </w:rPr>
        <w:t xml:space="preserve">Manual response to client confirming receipt / 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1.5 FTE (Ireland) + 3.5 FTE (Warsaw) = 5.0 FTE / year to process invoices.</w:t>
            </w:r>
          </w:p>
        </w:tc>
      </w:tr>
    </w:tbl>
    <w:p>
      <w:pPr>
        <w:spacing w:after="50" w:before="120"/>
      </w:pPr>
      <w:r>
        <w:rPr>
          <w:b/>
          <w:bCs/>
          <w:color w:val="B98A2E"/>
          <w:sz w:val="19"/>
          <w:szCs w:val="19"/>
        </w:rPr>
        <w:t xml:space="preserve">VOLUME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Confirmed by process owner: 5,800 invoices / year.</w:t>
            </w:r>
          </w:p>
        </w:tc>
      </w:tr>
    </w:tbl>
    <w:p>
      <w:pPr>
        <w:spacing w:after="50" w:before="120"/>
      </w:pPr>
      <w:r>
        <w:rPr>
          <w:b/>
          <w:bCs/>
          <w:color w:val="B98A2E"/>
          <w:sz w:val="19"/>
          <w:szCs w:val="19"/>
        </w:rPr>
        <w:t xml:space="preserve">DERIVED ANNUAL EFFORT</w:t>
      </w:r>
    </w:p>
    <w:p>
      <w:pPr>
        <w:spacing w:after="110"/>
      </w:pPr>
      <w:r>
        <w:rPr>
          <w:color w:val="1F2B24"/>
          <w:sz w:val="21"/>
          <w:szCs w:val="21"/>
        </w:rPr>
        <w:t xml:space="preserve">Effort is given directly in FTE by the process owner: 5.0 FTE / year (1.5 Ireland + 3.5 Warsaw) – no further derivation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Source note dated “315/08/2026” – not a valid date (likely a typo, e.g. 31/08 or 15/08); confirm with the process owner.</w:t>
            </w:r>
          </w:p>
        </w:tc>
      </w:tr>
    </w:tbl>
    <w:p>
      <w:pPr>
        <w:spacing w:after="50" w:before="120"/>
      </w:pPr>
      <w:r>
        <w:rPr>
          <w:b/>
          <w:bCs/>
          <w:color w:val="B98A2E"/>
          <w:sz w:val="19"/>
          <w:szCs w:val="19"/>
        </w:rPr>
        <w:t xml:space="preserve">CURRENT-STATE RISK (WHY AUTOMATE)</w:t>
      </w:r>
    </w:p>
    <w:p>
      <w:pPr>
        <w:spacing w:after="110"/>
      </w:pPr>
      <w:r>
        <w:rPr>
          <w:color w:val="1F2B24"/>
          <w:sz w:val="21"/>
          <w:szCs w:val="21"/>
        </w:rPr>
        <w:t xml:space="preserve">The usual LLM risk is present but can be mitigated by guardrails (process owner note).</w:t>
      </w:r>
    </w:p>
    <w:p>
      <w:pPr>
        <w:spacing w:after="50" w:before="120"/>
      </w:pPr>
      <w:r>
        <w:rPr>
          <w:b/>
          <w:bCs/>
          <w:color w:val="B98A2E"/>
          <w:sz w:val="19"/>
          <w:szCs w:val="19"/>
        </w:rPr>
        <w:t xml:space="preserve">ESTIMATED BENEFIT</w:t>
      </w:r>
    </w:p>
    <w:p>
      <w:pPr>
        <w:spacing w:after="110"/>
      </w:pPr>
      <w:r>
        <w:rPr>
          <w:color w:val="1F2B24"/>
          <w:sz w:val="21"/>
          <w:szCs w:val="21"/>
        </w:rPr>
        <w:t xml:space="preserve">With automation, effort is estimated to fall to 0.5 FTE (Ireland) + 1.0 FTE (Warsaw) = 1.5 FTE / year – a 3.5 FTE saving, a 70% reduction from the current 5.0 FTE. Source: process owner note. In cost terms: €508,500 → €161,000, an annual saving of ≈ €347,500. This is the largest quantified benefit on the portfolio.</w:t>
      </w:r>
    </w:p>
    <w:p>
      <w:pPr>
        <w:spacing w:after="50" w:before="120"/>
      </w:pPr>
      <w:r>
        <w:rPr>
          <w:b/>
          <w:bCs/>
          <w:color w:val="B98A2E"/>
          <w:sz w:val="19"/>
          <w:szCs w:val="19"/>
        </w:rPr>
        <w:t xml:space="preserve">CURRENT COST OF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1F5F45" w:sz="4"/>
              <w:left w:val="single" w:color="1F5F45" w:sz="16"/>
              <w:bottom w:val="single" w:color="1F5F45" w:sz="4"/>
              <w:right w:val="single" w:color="1F5F45" w:sz="4"/>
            </w:tcBorders>
            <w:shd w:fill="EAF2EC" w:val="clear"/>
            <w:tcMar>
              <w:top w:type="dxa" w:w="90"/>
              <w:left w:type="dxa" w:w="160"/>
              <w:bottom w:type="dxa" w:w="90"/>
              <w:right w:type="dxa" w:w="160"/>
            </w:tcMar>
          </w:tcPr>
          <w:p>
            <w:pPr>
              <w:spacing w:after="40"/>
            </w:pPr>
            <w:r>
              <w:rPr>
                <w:b/>
                <w:bCs/>
                <w:color w:val="AD5A3E"/>
                <w:sz w:val="18"/>
                <w:szCs w:val="18"/>
              </w:rPr>
              <w:t xml:space="preserve">CALCULATED</w:t>
            </w:r>
          </w:p>
          <w:p>
            <w:r>
              <w:rPr>
                <w:color w:val="1F2B24"/>
                <w:sz w:val="20"/>
                <w:szCs w:val="20"/>
              </w:rPr>
              <w:t xml:space="preserve">Current: 1.5 FTE × €220,000 (Ireland) + 3.5 FTE × €51,000 (Warsaw) = €330,000 + €178,500 = €508,500 / year. Post-automation: 0.5 FTE × €220,000 + 1.0 FTE × €51,000 = €161,000 / year. Annual saving ≈ €347,500 (68% cost reduction – slightly below the 70% FTE reduction because the Ireland FTE retained carries the higher rate).</w:t>
            </w:r>
          </w:p>
        </w:tc>
      </w:tr>
    </w:tbl>
    <w:p>
      <w:pPr>
        <w:spacing w:after="50" w:before="120"/>
      </w:pPr>
      <w:r>
        <w:rPr>
          <w:b/>
          <w:bCs/>
          <w:color w:val="B98A2E"/>
          <w:sz w:val="19"/>
          <w:szCs w:val="19"/>
        </w:rPr>
        <w:t xml:space="preserve">RESIDUAL RISKS TO MANAGE (POST-AUTOMATION)</w:t>
      </w:r>
    </w:p>
    <w:p>
      <w:pPr>
        <w:pStyle w:val="ListParagraph"/>
        <w:numPr>
          <w:ilvl w:val="0"/>
          <w:numId w:val="1"/>
        </w:numPr>
        <w:spacing w:after="60"/>
      </w:pPr>
      <w:r>
        <w:rPr>
          <w:color w:val="1F2B24"/>
          <w:sz w:val="21"/>
          <w:szCs w:val="21"/>
        </w:rPr>
        <w:t xml:space="preserve">Largest financial exposure on this list – an extraction error feeding into an actual payment posting is a direct money-movement risk; the 4-eye review must remain a genuine control, not a rubber stamp, as automation reduces perceived need for scrutiny.</w:t>
      </w:r>
    </w:p>
    <w:p>
      <w:pPr>
        <w:pStyle w:val="ListParagraph"/>
        <w:numPr>
          <w:ilvl w:val="0"/>
          <w:numId w:val="1"/>
        </w:numPr>
        <w:spacing w:after="60"/>
      </w:pPr>
      <w:r>
        <w:rPr>
          <w:color w:val="1F2B24"/>
          <w:sz w:val="21"/>
          <w:szCs w:val="21"/>
        </w:rPr>
        <w:t xml:space="preserve">Multi-system consistency risk – a partial failure (e.g. Neolink succeeds, Geneva post fails) could leave systems out of sync; needs reconciliation safeguards, not just per-step automation.</w:t>
      </w:r>
    </w:p>
    <w:p>
      <w:pPr>
        <w:pStyle w:val="ListParagraph"/>
        <w:numPr>
          <w:ilvl w:val="0"/>
          <w:numId w:val="1"/>
        </w:numPr>
        <w:spacing w:after="60"/>
      </w:pPr>
      <w:r>
        <w:rPr>
          <w:color w:val="1F2B24"/>
          <w:sz w:val="21"/>
          <w:szCs w:val="21"/>
        </w:rPr>
        <w:t xml:space="preserve">Client communication risk – auto-drafted client confirmations could go out incorrectly or prematurely if the human review step is bypassed under time pressure.</w:t>
      </w:r>
    </w:p>
    <w:p>
      <w:pPr>
        <w:spacing w:after="50" w:before="120"/>
      </w:pPr>
      <w:r>
        <w:rPr>
          <w:b/>
          <w:bCs/>
          <w:color w:val="B98A2E"/>
          <w:sz w:val="19"/>
          <w:szCs w:val="19"/>
        </w:rPr>
        <w:t xml:space="preserve">INDICATIVE EFFORT TO BUILD</w:t>
      </w:r>
    </w:p>
    <w:p>
      <w:pPr>
        <w:spacing w:after="80"/>
      </w:pPr>
      <w:r>
        <w:rPr>
          <w:b/>
          <w:bCs/>
          <w:color w:val="B98A2E"/>
          <w:sz w:val="26"/>
          <w:szCs w:val="26"/>
        </w:rPr>
        <w:t xml:space="preserve">Large overall</w:t>
      </w:r>
    </w:p>
    <w:p>
      <w:pPr>
        <w:spacing w:after="110"/>
      </w:pPr>
      <w:r>
        <w:rPr>
          <w:color w:val="1F2B24"/>
          <w:sz w:val="21"/>
          <w:szCs w:val="21"/>
        </w:rPr>
        <w:t xml:space="preserve">Spans Neolink, Geneva and the NAV control pack, plus extraction, validation, 4-eye workflow and client-comms drafting – the largest integration surface of the five. An agent-based reference architecture has already been prototyped in-house.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Governance</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Infra setup</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Development</w:t>
            </w:r>
          </w:p>
        </w:tc>
        <w:tc>
          <w:tcPr>
            <w:tcW w:type="pct" w:w="25%"/>
            <w:tcBorders>
              <w:top w:val="single" w:color="D8DED8" w:sz="4"/>
              <w:left w:val="single" w:color="D8DED8" w:sz="4"/>
              <w:bottom w:val="single" w:color="D8DED8" w:sz="4"/>
              <w:right w:val="single" w:color="D8DED8" w:sz="4"/>
            </w:tcBorders>
            <w:shd w:fill="F4F6F4" w:val="clear"/>
            <w:tcMar>
              <w:top w:type="dxa" w:w="80"/>
              <w:left w:type="dxa" w:w="100"/>
              <w:bottom w:type="dxa" w:w="80"/>
              <w:right w:type="dxa" w:w="100"/>
            </w:tcMar>
          </w:tcPr>
          <w:p>
            <w:r>
              <w:rPr>
                <w:b/>
                <w:bCs/>
                <w:color w:val="1F2B24"/>
                <w:sz w:val="17"/>
                <w:szCs w:val="17"/>
              </w:rPr>
              <w:t xml:space="preserve">QA</w:t>
            </w:r>
          </w:p>
        </w:tc>
      </w:tr>
      <w:tr>
        <w:trPr>
          <w:cantSplit/>
        </w:trPr>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c>
          <w:tcPr>
            <w:tcW w:type="pct" w:w="25%"/>
            <w:tcBorders>
              <w:top w:val="single" w:color="D8DED8" w:sz="4"/>
              <w:left w:val="single" w:color="D8DED8" w:sz="4"/>
              <w:bottom w:val="single" w:color="D8DED8" w:sz="4"/>
              <w:right w:val="single" w:color="D8DED8" w:sz="4"/>
            </w:tcBorders>
            <w:tcMar>
              <w:top w:type="dxa" w:w="80"/>
              <w:left w:type="dxa" w:w="100"/>
              <w:bottom w:type="dxa" w:w="80"/>
              <w:right w:type="dxa" w:w="100"/>
            </w:tcMar>
          </w:tcPr>
          <w:p>
            <w:r>
              <w:rPr>
                <w:b/>
                <w:bCs/>
                <w:color w:val="1F2B24"/>
                <w:sz w:val="19"/>
                <w:szCs w:val="19"/>
              </w:rPr>
              <w:t xml:space="preserve">Large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pct" w:w="100%"/>
            <w:tcBorders>
              <w:top w:val="single" w:color="D8DED8" w:sz="4"/>
              <w:left w:val="single" w:color="1F5F45" w:sz="16"/>
              <w:bottom w:val="single" w:color="D8DED8" w:sz="4"/>
              <w:right w:val="single" w:color="D8DED8" w:sz="4"/>
            </w:tcBorders>
            <w:shd w:fill="F4F6F4" w:val="clear"/>
            <w:tcMar>
              <w:top w:type="dxa" w:w="90"/>
              <w:left w:type="dxa" w:w="160"/>
              <w:bottom w:type="dxa" w:w="90"/>
              <w:right w:type="dxa" w:w="160"/>
            </w:tcMar>
          </w:tcPr>
          <w:p>
            <w:r>
              <w:rPr>
                <w:color w:val="1F2B24"/>
                <w:sz w:val="20"/>
                <w:szCs w:val="20"/>
              </w:rPr>
              <w:t xml:space="preserve">Directional sizing for planning discussion, not a committed estimate – confirm with a formal estimation session before this figure is used in a budget ask.</w:t>
            </w:r>
          </w:p>
        </w:tc>
      </w:tr>
    </w:tbl>
    <w:p>
      <w:pPr>
        <w:pageBreakBefore/>
        <w:spacing w:after="160" w:before="260"/>
      </w:pPr>
      <w:r>
        <w:rPr>
          <w:rFonts w:ascii="Arial" w:cs="Arial" w:eastAsia="Arial" w:hAnsi="Arial"/>
          <w:b/>
          <w:bCs/>
          <w:color w:val="1F5F45"/>
          <w:sz w:val="30"/>
          <w:szCs w:val="30"/>
        </w:rPr>
        <w:t xml:space="preserve">Still needed before this goes to committee</w:t>
      </w:r>
    </w:p>
    <w:p>
      <w:pPr>
        <w:spacing w:after="110"/>
      </w:pPr>
      <w:r>
        <w:rPr>
          <w:color w:val="1F2B24"/>
          <w:sz w:val="21"/>
          <w:szCs w:val="21"/>
        </w:rPr>
        <w:t xml:space="preserve">Effort, volume and location rates are now confirmed for all five use cases, with source process documentation available for two of them. What's left: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rPr>
          <w:cantSplit/>
        </w:trPr>
        <w:tc>
          <w:tcPr>
            <w:tcW w:type="pct" w:w="6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Item</w:t>
            </w:r>
          </w:p>
        </w:tc>
        <w:tc>
          <w:tcPr>
            <w:tcW w:type="pct" w:w="40%"/>
            <w:tcBorders>
              <w:top w:val="single" w:color="1F5F45" w:sz="4"/>
              <w:left w:val="single" w:color="1F5F45" w:sz="4"/>
              <w:bottom w:val="single" w:color="1F5F45" w:sz="4"/>
              <w:right w:val="single" w:color="1F5F45" w:sz="4"/>
            </w:tcBorders>
            <w:shd w:fill="1F5F45" w:val="clear"/>
            <w:tcMar>
              <w:top w:type="dxa" w:w="100"/>
              <w:left w:type="dxa" w:w="110"/>
              <w:bottom w:type="dxa" w:w="100"/>
              <w:right w:type="dxa" w:w="110"/>
            </w:tcMar>
          </w:tcPr>
          <w:p>
            <w:r>
              <w:rPr>
                <w:b/>
                <w:bCs/>
                <w:color w:val="FFFFFF"/>
                <w:sz w:val="17"/>
                <w:szCs w:val="17"/>
              </w:rPr>
              <w:t xml:space="preserve">Why it's needed</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Confirm the rate-conversion assumptions: 2,016 hours (252 days × 8 h) per FTE-year; UC-023's EMEA volume split between Ireland and Poland (50/50 assumed); and which location(s) perform UC-024's quarterly consolidation (equal weighting assumed).</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Rates by location are now received and applied. These assumptions move UC-023 by up to ±€5,000/year and UC-024 by up to ±€3,900/year; UC-022 and UC-004 are unaffected.</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Confirm the UC-024 effort figure: this update replaces the earlier “7 days Warsaw + 7 days Dublin, monthly” estimate with a fuller multi-location, multi-cadence breakdown that doesn't restate that figure.</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The two source notes disagree in structure, not just detail – flagged rather than silently resolved. Confirm which is the agreed baseline.</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Confirm the UC-004 source note date – recorded as “315/08/2026”, which isn't a valid date.</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Likely a typo (e.g. 31/08 or 15/08) – worth confirming for the record given this note carries the portfolio's largest benefit figure.</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The meaning of the “10 secs/doc” figure and asterisk on UC-023 (consistent across two independent source captures, still unexplained in both).</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Could be a target automated-processing time or a footnote reference – shouldn't be used in any calculation until confirmed.</w:t>
            </w:r>
          </w:p>
        </w:tc>
      </w:tr>
      <w:tr>
        <w:trPr>
          <w:cantSplit/>
        </w:trPr>
        <w:tc>
          <w:tcPr>
            <w:tcW w:type="pct" w:w="6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How often does each process produce an error today, and what does fixing it cost?</w:t>
            </w:r>
          </w:p>
        </w:tc>
        <w:tc>
          <w:tcPr>
            <w:tcW w:type="pct" w:w="40%"/>
            <w:tcBorders>
              <w:top w:val="single" w:color="D8DED8" w:sz="4"/>
              <w:left w:val="single" w:color="D8DED8" w:sz="4"/>
              <w:bottom w:val="single" w:color="D8DED8" w:sz="4"/>
              <w:right w:val="single" w:color="D8DED8" w:sz="4"/>
            </w:tcBorders>
            <w:tcMar>
              <w:top w:type="dxa" w:w="100"/>
              <w:left w:type="dxa" w:w="110"/>
              <w:bottom w:type="dxa" w:w="100"/>
              <w:right w:type="dxa" w:w="110"/>
            </w:tcMar>
          </w:tcPr>
          <w:p>
            <w:r>
              <w:rPr>
                <w:b w:val="false"/>
                <w:bCs w:val="false"/>
                <w:i w:val="false"/>
                <w:iCs w:val="false"/>
                <w:color w:val="50594F"/>
                <w:sz w:val="17"/>
                <w:szCs w:val="17"/>
              </w:rPr>
              <w:t xml:space="preserve">Captures the error-cost baseline this business case should also be compared against, not just time saved.</w:t>
            </w:r>
          </w:p>
        </w:tc>
      </w:tr>
    </w:tbl>
    <w:p>
      <w:pPr>
        <w:pBdr>
          <w:top w:val="single" w:color="D8DED8" w:sz="4" w:space="8"/>
        </w:pBdr>
        <w:spacing w:before="300"/>
      </w:pPr>
      <w:r>
        <w:rPr>
          <w:color w:val="50594F"/>
          <w:sz w:val="16"/>
          <w:szCs w:val="16"/>
        </w:rPr>
        <w:t xml:space="preserve">AI Use Case Portfolio Review – Business Case for Management Decision</w:t>
      </w:r>
    </w:p>
    <w:sectPr>
      <w:footerReference w:type="default" r:id="rId9"/>
      <w:pgSz w:w="12240" w:h="15840" w:orient="portrait"/>
      <w:pgMar w:top="900" w:right="1080" w:bottom="900" w:left="1080" w:header="708"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8" w:sz="4" w:space="6"/>
      </w:pBdr>
      <w:jc w:val="left"/>
    </w:pPr>
    <w:r>
      <w:drawing>
        <wp:inline distT="0" distB="0" distL="0" distR="0">
          <wp:extent cx="12382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190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er2.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er3.xml.rels><?xml version="1.0" encoding="UTF-8"?><Relationships xmlns="http://schemas.openxmlformats.org/package/2006/relationships"><Relationship Id="rId0" Type="http://schemas.openxmlformats.org/officeDocument/2006/relationships/image" Target="media/55411824249551b1406b73b772f2bdf08d64d55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2026-08-31T17:52:16.871Z</dcterms:created>
  <dcterms:modified xsi:type="dcterms:W3CDTF">2026-08-31T17:52:16.871Z</dcterms:modified>
</cp:coreProperties>
</file>

<file path=docProps/custom.xml><?xml version="1.0" encoding="utf-8"?>
<Properties xmlns="http://schemas.openxmlformats.org/officeDocument/2006/custom-properties" xmlns:vt="http://schemas.openxmlformats.org/officeDocument/2006/docPropsVTypes"/>
</file>