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6"/>
        </w:rPr>
        <w:t>SOFTWARE PROJECT</w:t>
        <w:br/>
        <w:t>ESTIMATION HANDBOOK</w:t>
      </w:r>
    </w:p>
    <w:p>
      <w:pPr>
        <w:jc w:val="center"/>
      </w:pPr>
      <w:r>
        <w:rPr>
          <w:color w:val="2F75B5"/>
          <w:sz w:val="28"/>
        </w:rPr>
        <w:t>A practical guide for estimating projects from discovery to production</w:t>
      </w:r>
    </w:p>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sz w:val="20"/>
              </w:rPr>
              <w:t>Purpose</w:t>
              <w:br/>
            </w:r>
            <w:r>
              <w:rPr>
                <w:sz w:val="18"/>
              </w:rPr>
              <w:t>Use this handbook when requirements are incomplete, architecture is not yet defined, and epics or stories do not exist. It provides a defensible way to estimate uncertainty, size, delivery effort and confidence without creating false precision.</w:t>
            </w:r>
          </w:p>
        </w:tc>
      </w:tr>
    </w:tbl>
    <w:p>
      <w:pPr>
        <w:spacing w:after="0"/>
      </w:pPr>
    </w:p>
    <w:p>
      <w:pPr>
        <w:spacing w:before="1400"/>
        <w:jc w:val="center"/>
      </w:pPr>
      <w:r>
        <w:rPr>
          <w:color w:val="6E6E6E"/>
          <w:sz w:val="18"/>
        </w:rPr>
        <w:t>Version 1.0</w:t>
      </w:r>
    </w:p>
    <w:p>
      <w:r>
        <w:br w:type="page"/>
      </w:r>
    </w:p>
    <w:p>
      <w:pPr>
        <w:pStyle w:val="Heading1"/>
        <w:spacing w:before="160" w:after="80"/>
      </w:pPr>
      <w:r>
        <w:t>How to Use This Handbook</w:t>
      </w:r>
    </w:p>
    <w:p>
      <w:r>
        <w:t>The core principle is progressive elaboration: estimate at the level of detail that actually exists, then refine the estimate as requirements, architecture, epics, stories and delivery data become available.</w:t>
      </w:r>
    </w:p>
    <w:p>
      <w:pPr>
        <w:pStyle w:val="ListBullet"/>
        <w:spacing w:after="30"/>
      </w:pPr>
      <w:r>
        <w:t>In discovery, estimate capabilities, complexity, assumptions, dependencies and uncertainty.</w:t>
      </w:r>
    </w:p>
    <w:p>
      <w:pPr>
        <w:pStyle w:val="ListBullet"/>
        <w:spacing w:after="30"/>
      </w:pPr>
      <w:r>
        <w:t>When architecture emerges, add components, integrations, data, security and non-functional requirements.</w:t>
      </w:r>
    </w:p>
    <w:p>
      <w:pPr>
        <w:pStyle w:val="ListBullet"/>
        <w:spacing w:after="30"/>
      </w:pPr>
      <w:r>
        <w:t>When epics exist, estimate epics and cross-team dependencies.</w:t>
      </w:r>
    </w:p>
    <w:p>
      <w:pPr>
        <w:pStyle w:val="ListBullet"/>
        <w:spacing w:after="30"/>
      </w:pPr>
      <w:r>
        <w:t>When stories exist, use team-level delivery metrics such as throughput or velocity.</w:t>
      </w:r>
    </w:p>
    <w:p>
      <w:pPr>
        <w:pStyle w:val="ListBullet"/>
        <w:spacing w:after="30"/>
      </w:pPr>
      <w:r>
        <w:t>Once delivery starts, replace opinion-based estimates with evidence from actual delivery performance.</w:t>
      </w:r>
    </w:p>
    <w:p>
      <w:pPr>
        <w:pStyle w:val="Heading2"/>
        <w:spacing w:before="100" w:after="80"/>
      </w:pPr>
      <w:r>
        <w:t>Estimation Principles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b/>
                <w:color w:val="FFFFFF"/>
                <w:sz w:val="17"/>
              </w:rPr>
              <w:t>Principle</w:t>
            </w:r>
          </w:p>
        </w:tc>
        <w:tc>
          <w:tcPr>
            <w:tcW w:type="dxa" w:w="5112"/>
            <w:vAlign w:val="center"/>
            <w:shd w:fill="17365D"/>
          </w:tcPr>
          <w:p>
            <w:r>
              <w:rPr>
                <w:b/>
                <w:color w:val="FFFFFF"/>
                <w:sz w:val="17"/>
              </w:rPr>
              <w:t>Application</w:t>
            </w:r>
          </w:p>
        </w:tc>
      </w:tr>
      <w:tr>
        <w:tc>
          <w:tcPr>
            <w:tcW w:type="dxa" w:w="5112"/>
            <w:vAlign w:val="center"/>
          </w:tcPr>
          <w:p>
            <w:r>
              <w:rPr>
                <w:sz w:val="17"/>
              </w:rPr>
              <w:t>Estimate what is known</w:t>
            </w:r>
          </w:p>
        </w:tc>
        <w:tc>
          <w:tcPr>
            <w:tcW w:type="dxa" w:w="5112"/>
            <w:vAlign w:val="center"/>
          </w:tcPr>
          <w:p>
            <w:r>
              <w:rPr>
                <w:sz w:val="17"/>
              </w:rPr>
              <w:t>Do not invent story-level precision when only capability-level information exists.</w:t>
            </w:r>
          </w:p>
        </w:tc>
      </w:tr>
      <w:tr>
        <w:tc>
          <w:tcPr>
            <w:tcW w:type="dxa" w:w="5112"/>
            <w:vAlign w:val="center"/>
          </w:tcPr>
          <w:p>
            <w:r>
              <w:rPr>
                <w:sz w:val="17"/>
              </w:rPr>
              <w:t>Use ranges</w:t>
            </w:r>
          </w:p>
        </w:tc>
        <w:tc>
          <w:tcPr>
            <w:tcW w:type="dxa" w:w="5112"/>
            <w:vAlign w:val="center"/>
          </w:tcPr>
          <w:p>
            <w:r>
              <w:rPr>
                <w:sz w:val="17"/>
              </w:rPr>
              <w:t>A range communicates uncertainty more honestly than a single date or effort number.</w:t>
            </w:r>
          </w:p>
        </w:tc>
      </w:tr>
      <w:tr>
        <w:tc>
          <w:tcPr>
            <w:tcW w:type="dxa" w:w="5112"/>
            <w:vAlign w:val="center"/>
          </w:tcPr>
          <w:p>
            <w:r>
              <w:rPr>
                <w:sz w:val="17"/>
              </w:rPr>
              <w:t>Separate effort from duration</w:t>
            </w:r>
          </w:p>
        </w:tc>
        <w:tc>
          <w:tcPr>
            <w:tcW w:type="dxa" w:w="5112"/>
            <w:vAlign w:val="center"/>
          </w:tcPr>
          <w:p>
            <w:r>
              <w:rPr>
                <w:sz w:val="17"/>
              </w:rPr>
              <w:t>Ten person-months of effort is not automatically ten months of calendar time.</w:t>
            </w:r>
          </w:p>
        </w:tc>
      </w:tr>
      <w:tr>
        <w:tc>
          <w:tcPr>
            <w:tcW w:type="dxa" w:w="5112"/>
            <w:vAlign w:val="center"/>
          </w:tcPr>
          <w:p>
            <w:r>
              <w:rPr>
                <w:sz w:val="17"/>
              </w:rPr>
              <w:t>Make assumptions visible</w:t>
            </w:r>
          </w:p>
        </w:tc>
        <w:tc>
          <w:tcPr>
            <w:tcW w:type="dxa" w:w="5112"/>
            <w:vAlign w:val="center"/>
          </w:tcPr>
          <w:p>
            <w:r>
              <w:rPr>
                <w:sz w:val="17"/>
              </w:rPr>
              <w:t>An estimate without assumptions is difficult to govern and easy to misuse.</w:t>
            </w:r>
          </w:p>
        </w:tc>
      </w:tr>
      <w:tr>
        <w:tc>
          <w:tcPr>
            <w:tcW w:type="dxa" w:w="5112"/>
            <w:vAlign w:val="center"/>
          </w:tcPr>
          <w:p>
            <w:r>
              <w:rPr>
                <w:sz w:val="17"/>
              </w:rPr>
              <w:t>Track confidence</w:t>
            </w:r>
          </w:p>
        </w:tc>
        <w:tc>
          <w:tcPr>
            <w:tcW w:type="dxa" w:w="5112"/>
            <w:vAlign w:val="center"/>
          </w:tcPr>
          <w:p>
            <w:r>
              <w:rPr>
                <w:sz w:val="17"/>
              </w:rPr>
              <w:t>An estimate should have a confidence level that improves as uncertainty reduces.</w:t>
            </w:r>
          </w:p>
        </w:tc>
      </w:tr>
      <w:tr>
        <w:tc>
          <w:tcPr>
            <w:tcW w:type="dxa" w:w="5112"/>
            <w:vAlign w:val="center"/>
          </w:tcPr>
          <w:p>
            <w:r>
              <w:rPr>
                <w:sz w:val="17"/>
              </w:rPr>
              <w:t>Re-estimate at gates</w:t>
            </w:r>
          </w:p>
        </w:tc>
        <w:tc>
          <w:tcPr>
            <w:tcW w:type="dxa" w:w="5112"/>
            <w:vAlign w:val="center"/>
          </w:tcPr>
          <w:p>
            <w:r>
              <w:rPr>
                <w:sz w:val="17"/>
              </w:rPr>
              <w:t>Refresh estimates after material changes in scope, architecture, team structure or risk.</w:t>
            </w:r>
          </w:p>
        </w:tc>
      </w:tr>
      <w:tr>
        <w:tc>
          <w:tcPr>
            <w:tcW w:type="dxa" w:w="5112"/>
            <w:vAlign w:val="center"/>
          </w:tcPr>
          <w:p>
            <w:r>
              <w:rPr>
                <w:sz w:val="17"/>
              </w:rPr>
              <w:t>Prefer evidence over opinion</w:t>
            </w:r>
          </w:p>
        </w:tc>
        <w:tc>
          <w:tcPr>
            <w:tcW w:type="dxa" w:w="5112"/>
            <w:vAlign w:val="center"/>
          </w:tcPr>
          <w:p>
            <w:r>
              <w:rPr>
                <w:sz w:val="17"/>
              </w:rPr>
              <w:t>As delivery progresses, use actual throughput, cycle time, defect and readiness data.</w:t>
            </w:r>
          </w:p>
        </w:tc>
      </w:tr>
    </w:tbl>
    <w:tbl>
      <w:tblPr>
        <w:tblStyle w:val="TableGrid"/>
        <w:tblW w:type="auto" w:w="0"/>
        <w:tblLook w:firstColumn="1" w:firstRow="1" w:lastColumn="0" w:lastRow="0" w:noHBand="0" w:noVBand="1" w:val="04A0"/>
      </w:tblPr>
      <w:tblGrid>
        <w:gridCol w:w="10224"/>
      </w:tblGrid>
      <w:tr>
        <w:tc>
          <w:tcPr>
            <w:tcW w:type="dxa" w:w="10224"/>
            <w:shd w:fill="FFF2CC"/>
          </w:tcPr>
          <w:p>
            <w:r/>
            <w:r>
              <w:rPr>
                <w:b/>
                <w:color w:val="17365D"/>
                <w:sz w:val="20"/>
              </w:rPr>
              <w:t>Key warning</w:t>
              <w:br/>
            </w:r>
            <w:r>
              <w:rPr>
                <w:sz w:val="18"/>
              </w:rPr>
              <w:t>The first rough estimate often becomes an unofficial commitment. Always label early estimates as Rough Order of Magnitude (ROM), include assumptions, state the confidence level, and specify when the estimate will be revisited.</w:t>
            </w:r>
          </w:p>
        </w:tc>
      </w:tr>
    </w:tbl>
    <w:p>
      <w:pPr>
        <w:spacing w:after="0"/>
      </w:pPr>
    </w:p>
    <w:p>
      <w:pPr>
        <w:pStyle w:val="Heading1"/>
        <w:spacing w:before="160" w:after="80"/>
      </w:pPr>
      <w:r>
        <w:t>1. Estimation Across the Project Lifecycle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Pr>
                <w:b/>
                <w:color w:val="FFFFFF"/>
                <w:sz w:val="17"/>
              </w:rPr>
              <w:t>Stage</w:t>
            </w:r>
          </w:p>
        </w:tc>
        <w:tc>
          <w:tcPr>
            <w:tcW w:type="dxa" w:w="2556"/>
            <w:vAlign w:val="center"/>
            <w:shd w:fill="17365D"/>
          </w:tcPr>
          <w:p>
            <w:r>
              <w:rPr>
                <w:b/>
                <w:color w:val="FFFFFF"/>
                <w:sz w:val="17"/>
              </w:rPr>
              <w:t>What to Estimate</w:t>
            </w:r>
          </w:p>
        </w:tc>
        <w:tc>
          <w:tcPr>
            <w:tcW w:type="dxa" w:w="2556"/>
            <w:vAlign w:val="center"/>
            <w:shd w:fill="17365D"/>
          </w:tcPr>
          <w:p>
            <w:r>
              <w:rPr>
                <w:b/>
                <w:color w:val="FFFFFF"/>
                <w:sz w:val="17"/>
              </w:rPr>
              <w:t>Useful Metrics</w:t>
            </w:r>
          </w:p>
        </w:tc>
        <w:tc>
          <w:tcPr>
            <w:tcW w:type="dxa" w:w="2556"/>
            <w:vAlign w:val="center"/>
            <w:shd w:fill="17365D"/>
          </w:tcPr>
          <w:p>
            <w:r>
              <w:rPr>
                <w:b/>
                <w:color w:val="FFFFFF"/>
                <w:sz w:val="17"/>
              </w:rPr>
              <w:t>Typical Confidence</w:t>
            </w:r>
          </w:p>
        </w:tc>
      </w:tr>
      <w:tr>
        <w:tc>
          <w:tcPr>
            <w:tcW w:type="dxa" w:w="2556"/>
            <w:vAlign w:val="center"/>
          </w:tcPr>
          <w:p>
            <w:r>
              <w:rPr>
                <w:sz w:val="17"/>
              </w:rPr>
              <w:t>1. Discovery / Concept</w:t>
            </w:r>
          </w:p>
        </w:tc>
        <w:tc>
          <w:tcPr>
            <w:tcW w:type="dxa" w:w="2556"/>
            <w:vAlign w:val="center"/>
          </w:tcPr>
          <w:p>
            <w:r>
              <w:rPr>
                <w:sz w:val="17"/>
              </w:rPr>
              <w:t>Capabilities, workstreams, complexity bands, assumptions, unknowns</w:t>
            </w:r>
          </w:p>
        </w:tc>
        <w:tc>
          <w:tcPr>
            <w:tcW w:type="dxa" w:w="2556"/>
            <w:vAlign w:val="center"/>
          </w:tcPr>
          <w:p>
            <w:r>
              <w:rPr>
                <w:sz w:val="17"/>
              </w:rPr>
              <w:t>ROM range, team-months, confidence</w:t>
            </w:r>
          </w:p>
        </w:tc>
        <w:tc>
          <w:tcPr>
            <w:tcW w:type="dxa" w:w="2556"/>
            <w:vAlign w:val="center"/>
          </w:tcPr>
          <w:p>
            <w:r>
              <w:rPr>
                <w:sz w:val="17"/>
              </w:rPr>
              <w:t>Low</w:t>
            </w:r>
          </w:p>
        </w:tc>
      </w:tr>
      <w:tr>
        <w:tc>
          <w:tcPr>
            <w:tcW w:type="dxa" w:w="2556"/>
            <w:vAlign w:val="center"/>
          </w:tcPr>
          <w:p>
            <w:r>
              <w:rPr>
                <w:sz w:val="17"/>
              </w:rPr>
              <w:t>2. Requirements Forming</w:t>
            </w:r>
          </w:p>
        </w:tc>
        <w:tc>
          <w:tcPr>
            <w:tcW w:type="dxa" w:w="2556"/>
            <w:vAlign w:val="center"/>
          </w:tcPr>
          <w:p>
            <w:r>
              <w:rPr>
                <w:sz w:val="17"/>
              </w:rPr>
              <w:t>Feature groups, actors, business rules, interfaces, data domains</w:t>
            </w:r>
          </w:p>
        </w:tc>
        <w:tc>
          <w:tcPr>
            <w:tcW w:type="dxa" w:w="2556"/>
            <w:vAlign w:val="center"/>
          </w:tcPr>
          <w:p>
            <w:r>
              <w:rPr>
                <w:sz w:val="17"/>
              </w:rPr>
              <w:t>Refined ROM</w:t>
            </w:r>
          </w:p>
        </w:tc>
        <w:tc>
          <w:tcPr>
            <w:tcW w:type="dxa" w:w="2556"/>
            <w:vAlign w:val="center"/>
          </w:tcPr>
          <w:p>
            <w:r>
              <w:rPr>
                <w:sz w:val="17"/>
              </w:rPr>
              <w:t>Low-Medium</w:t>
            </w:r>
          </w:p>
        </w:tc>
      </w:tr>
      <w:tr>
        <w:tc>
          <w:tcPr>
            <w:tcW w:type="dxa" w:w="2556"/>
            <w:vAlign w:val="center"/>
          </w:tcPr>
          <w:p>
            <w:r>
              <w:rPr>
                <w:sz w:val="17"/>
              </w:rPr>
              <w:t>3. Architecture / Design</w:t>
            </w:r>
          </w:p>
        </w:tc>
        <w:tc>
          <w:tcPr>
            <w:tcW w:type="dxa" w:w="2556"/>
            <w:vAlign w:val="center"/>
          </w:tcPr>
          <w:p>
            <w:r>
              <w:rPr>
                <w:sz w:val="17"/>
              </w:rPr>
              <w:t>Components, services, integrations, NFRs, environments, migration</w:t>
            </w:r>
          </w:p>
        </w:tc>
        <w:tc>
          <w:tcPr>
            <w:tcW w:type="dxa" w:w="2556"/>
            <w:vAlign w:val="center"/>
          </w:tcPr>
          <w:p>
            <w:r>
              <w:rPr>
                <w:sz w:val="17"/>
              </w:rPr>
              <w:t>Bottom-up workstream estimate</w:t>
            </w:r>
          </w:p>
        </w:tc>
        <w:tc>
          <w:tcPr>
            <w:tcW w:type="dxa" w:w="2556"/>
            <w:vAlign w:val="center"/>
          </w:tcPr>
          <w:p>
            <w:r>
              <w:rPr>
                <w:sz w:val="17"/>
              </w:rPr>
              <w:t>Medium</w:t>
            </w:r>
          </w:p>
        </w:tc>
      </w:tr>
      <w:tr>
        <w:tc>
          <w:tcPr>
            <w:tcW w:type="dxa" w:w="2556"/>
            <w:vAlign w:val="center"/>
          </w:tcPr>
          <w:p>
            <w:r>
              <w:rPr>
                <w:sz w:val="17"/>
              </w:rPr>
              <w:t>4. Epics Defined</w:t>
            </w:r>
          </w:p>
        </w:tc>
        <w:tc>
          <w:tcPr>
            <w:tcW w:type="dxa" w:w="2556"/>
            <w:vAlign w:val="center"/>
          </w:tcPr>
          <w:p>
            <w:r>
              <w:rPr>
                <w:sz w:val="17"/>
              </w:rPr>
              <w:t>Epics, dependencies, release slices, team ownership</w:t>
            </w:r>
          </w:p>
        </w:tc>
        <w:tc>
          <w:tcPr>
            <w:tcW w:type="dxa" w:w="2556"/>
            <w:vAlign w:val="center"/>
          </w:tcPr>
          <w:p>
            <w:r>
              <w:rPr>
                <w:sz w:val="17"/>
              </w:rPr>
              <w:t>Epic effort + capacity</w:t>
            </w:r>
          </w:p>
        </w:tc>
        <w:tc>
          <w:tcPr>
            <w:tcW w:type="dxa" w:w="2556"/>
            <w:vAlign w:val="center"/>
          </w:tcPr>
          <w:p>
            <w:r>
              <w:rPr>
                <w:sz w:val="17"/>
              </w:rPr>
              <w:t>Medium</w:t>
            </w:r>
          </w:p>
        </w:tc>
      </w:tr>
      <w:tr>
        <w:tc>
          <w:tcPr>
            <w:tcW w:type="dxa" w:w="2556"/>
            <w:vAlign w:val="center"/>
          </w:tcPr>
          <w:p>
            <w:r>
              <w:rPr>
                <w:sz w:val="17"/>
              </w:rPr>
              <w:t>5. Stories Refined</w:t>
            </w:r>
          </w:p>
        </w:tc>
        <w:tc>
          <w:tcPr>
            <w:tcW w:type="dxa" w:w="2556"/>
            <w:vAlign w:val="center"/>
          </w:tcPr>
          <w:p>
            <w:r>
              <w:rPr>
                <w:sz w:val="17"/>
              </w:rPr>
              <w:t>Stories, acceptance criteria, technical tasks</w:t>
            </w:r>
          </w:p>
        </w:tc>
        <w:tc>
          <w:tcPr>
            <w:tcW w:type="dxa" w:w="2556"/>
            <w:vAlign w:val="center"/>
          </w:tcPr>
          <w:p>
            <w:r>
              <w:rPr>
                <w:sz w:val="17"/>
              </w:rPr>
              <w:t>Throughput / story points / cycle time</w:t>
            </w:r>
          </w:p>
        </w:tc>
        <w:tc>
          <w:tcPr>
            <w:tcW w:type="dxa" w:w="2556"/>
            <w:vAlign w:val="center"/>
          </w:tcPr>
          <w:p>
            <w:r>
              <w:rPr>
                <w:sz w:val="17"/>
              </w:rPr>
              <w:t>Medium-High</w:t>
            </w:r>
          </w:p>
        </w:tc>
      </w:tr>
      <w:tr>
        <w:tc>
          <w:tcPr>
            <w:tcW w:type="dxa" w:w="2556"/>
            <w:vAlign w:val="center"/>
          </w:tcPr>
          <w:p>
            <w:r>
              <w:rPr>
                <w:sz w:val="17"/>
              </w:rPr>
              <w:t>6. Build &amp; Test</w:t>
            </w:r>
          </w:p>
        </w:tc>
        <w:tc>
          <w:tcPr>
            <w:tcW w:type="dxa" w:w="2556"/>
            <w:vAlign w:val="center"/>
          </w:tcPr>
          <w:p>
            <w:r>
              <w:rPr>
                <w:sz w:val="17"/>
              </w:rPr>
              <w:t>Remaining scope, defects, automation, test completion</w:t>
            </w:r>
          </w:p>
        </w:tc>
        <w:tc>
          <w:tcPr>
            <w:tcW w:type="dxa" w:w="2556"/>
            <w:vAlign w:val="center"/>
          </w:tcPr>
          <w:p>
            <w:r>
              <w:rPr>
                <w:sz w:val="17"/>
              </w:rPr>
              <w:t>Forecast to complete</w:t>
            </w:r>
          </w:p>
        </w:tc>
        <w:tc>
          <w:tcPr>
            <w:tcW w:type="dxa" w:w="2556"/>
            <w:vAlign w:val="center"/>
          </w:tcPr>
          <w:p>
            <w:r>
              <w:rPr>
                <w:sz w:val="17"/>
              </w:rPr>
              <w:t>High</w:t>
            </w:r>
          </w:p>
        </w:tc>
      </w:tr>
      <w:tr>
        <w:tc>
          <w:tcPr>
            <w:tcW w:type="dxa" w:w="2556"/>
            <w:vAlign w:val="center"/>
          </w:tcPr>
          <w:p>
            <w:r>
              <w:rPr>
                <w:sz w:val="17"/>
              </w:rPr>
              <w:t>7. Production Readiness</w:t>
            </w:r>
          </w:p>
        </w:tc>
        <w:tc>
          <w:tcPr>
            <w:tcW w:type="dxa" w:w="2556"/>
            <w:vAlign w:val="center"/>
          </w:tcPr>
          <w:p>
            <w:r>
              <w:rPr>
                <w:sz w:val="17"/>
              </w:rPr>
              <w:t>Defects, performance, security, support, rollback, operational readiness</w:t>
            </w:r>
          </w:p>
        </w:tc>
        <w:tc>
          <w:tcPr>
            <w:tcW w:type="dxa" w:w="2556"/>
            <w:vAlign w:val="center"/>
          </w:tcPr>
          <w:p>
            <w:r>
              <w:rPr>
                <w:sz w:val="17"/>
              </w:rPr>
              <w:t>Release readiness forecast</w:t>
            </w:r>
          </w:p>
        </w:tc>
        <w:tc>
          <w:tcPr>
            <w:tcW w:type="dxa" w:w="2556"/>
            <w:vAlign w:val="center"/>
          </w:tcPr>
          <w:p>
            <w:r>
              <w:rPr>
                <w:sz w:val="17"/>
              </w:rPr>
              <w:t>High</w:t>
            </w:r>
          </w:p>
        </w:tc>
      </w:tr>
    </w:tbl>
    <w:p>
      <w:pPr>
        <w:pStyle w:val="Heading1"/>
        <w:spacing w:before="160" w:after="80"/>
      </w:pPr>
      <w:r>
        <w:t>2. Metrics to Use Before Epics and Stories Exist</w:t>
      </w:r>
    </w:p>
    <w:p>
      <w:pPr>
        <w:pStyle w:val="Heading2"/>
        <w:spacing w:before="100" w:after="80"/>
      </w:pPr>
      <w:r>
        <w:t>2.1 Functional Capability Size</w:t>
      </w:r>
    </w:p>
    <w:p>
      <w:r>
        <w:t>Create a capability map rather than a backlog. A capability is a meaningful business or system outcome such as authentication, reporting, workflow, search, notifications or administration.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Pr>
                <w:b/>
                <w:color w:val="FFFFFF"/>
                <w:sz w:val="17"/>
              </w:rPr>
              <w:t>Capability</w:t>
            </w:r>
          </w:p>
        </w:tc>
        <w:tc>
          <w:tcPr>
            <w:tcW w:type="dxa" w:w="2556"/>
            <w:vAlign w:val="center"/>
            <w:shd w:fill="17365D"/>
          </w:tcPr>
          <w:p>
            <w:r>
              <w:rPr>
                <w:b/>
                <w:color w:val="FFFFFF"/>
                <w:sz w:val="17"/>
              </w:rPr>
              <w:t>Complexity</w:t>
            </w:r>
          </w:p>
        </w:tc>
        <w:tc>
          <w:tcPr>
            <w:tcW w:type="dxa" w:w="2556"/>
            <w:vAlign w:val="center"/>
            <w:shd w:fill="17365D"/>
          </w:tcPr>
          <w:p>
            <w:r>
              <w:rPr>
                <w:b/>
                <w:color w:val="FFFFFF"/>
                <w:sz w:val="17"/>
              </w:rPr>
              <w:t>Primary Drivers</w:t>
            </w:r>
          </w:p>
        </w:tc>
        <w:tc>
          <w:tcPr>
            <w:tcW w:type="dxa" w:w="2556"/>
            <w:vAlign w:val="center"/>
            <w:shd w:fill="17365D"/>
          </w:tcPr>
          <w:p>
            <w:r>
              <w:rPr>
                <w:b/>
                <w:color w:val="FFFFFF"/>
                <w:sz w:val="17"/>
              </w:rPr>
              <w:t>Notes / Unknowns</w:t>
            </w:r>
          </w:p>
        </w:tc>
      </w:tr>
      <w:tr>
        <w:tc>
          <w:tcPr>
            <w:tcW w:type="dxa" w:w="2556"/>
            <w:vAlign w:val="center"/>
          </w:tcPr>
          <w:p>
            <w:r>
              <w:rPr>
                <w:sz w:val="17"/>
              </w:rPr>
              <w:t>Identity &amp; access</w:t>
            </w:r>
          </w:p>
        </w:tc>
        <w:tc>
          <w:tcPr>
            <w:tcW w:type="dxa" w:w="2556"/>
            <w:vAlign w:val="center"/>
          </w:tcPr>
          <w:p>
            <w:r>
              <w:rPr>
                <w:sz w:val="17"/>
              </w:rPr>
              <w:t>M</w:t>
            </w:r>
          </w:p>
        </w:tc>
        <w:tc>
          <w:tcPr>
            <w:tcW w:type="dxa" w:w="2556"/>
            <w:vAlign w:val="center"/>
          </w:tcPr>
          <w:p>
            <w:r>
              <w:rPr>
                <w:sz w:val="17"/>
              </w:rPr>
              <w:t>SSO, roles, permissions</w:t>
            </w:r>
          </w:p>
        </w:tc>
        <w:tc>
          <w:tcPr>
            <w:tcW w:type="dxa" w:w="2556"/>
            <w:vAlign w:val="center"/>
          </w:tcPr>
          <w:p>
            <w:r>
              <w:rPr>
                <w:sz w:val="17"/>
              </w:rPr>
              <w:t>Identity provider assumed available</w:t>
            </w:r>
          </w:p>
        </w:tc>
      </w:tr>
      <w:tr>
        <w:tc>
          <w:tcPr>
            <w:tcW w:type="dxa" w:w="2556"/>
            <w:vAlign w:val="center"/>
          </w:tcPr>
          <w:p>
            <w:r>
              <w:rPr>
                <w:sz w:val="17"/>
              </w:rPr>
              <w:t>Workflow / approvals</w:t>
            </w:r>
          </w:p>
        </w:tc>
        <w:tc>
          <w:tcPr>
            <w:tcW w:type="dxa" w:w="2556"/>
            <w:vAlign w:val="center"/>
          </w:tcPr>
          <w:p>
            <w:r>
              <w:rPr>
                <w:sz w:val="17"/>
              </w:rPr>
              <w:t>L</w:t>
            </w:r>
          </w:p>
        </w:tc>
        <w:tc>
          <w:tcPr>
            <w:tcW w:type="dxa" w:w="2556"/>
            <w:vAlign w:val="center"/>
          </w:tcPr>
          <w:p>
            <w:r>
              <w:rPr>
                <w:sz w:val="17"/>
              </w:rPr>
              <w:t>Rules, state transitions, audit</w:t>
            </w:r>
          </w:p>
        </w:tc>
        <w:tc>
          <w:tcPr>
            <w:tcW w:type="dxa" w:w="2556"/>
            <w:vAlign w:val="center"/>
          </w:tcPr>
          <w:p>
            <w:r>
              <w:rPr>
                <w:sz w:val="17"/>
              </w:rPr>
              <w:t>Approval matrix not finalized</w:t>
            </w:r>
          </w:p>
        </w:tc>
      </w:tr>
      <w:tr>
        <w:tc>
          <w:tcPr>
            <w:tcW w:type="dxa" w:w="2556"/>
            <w:vAlign w:val="center"/>
          </w:tcPr>
          <w:p>
            <w:r>
              <w:rPr>
                <w:sz w:val="17"/>
              </w:rPr>
              <w:t>Reporting</w:t>
            </w:r>
          </w:p>
        </w:tc>
        <w:tc>
          <w:tcPr>
            <w:tcW w:type="dxa" w:w="2556"/>
            <w:vAlign w:val="center"/>
          </w:tcPr>
          <w:p>
            <w:r>
              <w:rPr>
                <w:sz w:val="17"/>
              </w:rPr>
              <w:t>M</w:t>
            </w:r>
          </w:p>
        </w:tc>
        <w:tc>
          <w:tcPr>
            <w:tcW w:type="dxa" w:w="2556"/>
            <w:vAlign w:val="center"/>
          </w:tcPr>
          <w:p>
            <w:r>
              <w:rPr>
                <w:sz w:val="17"/>
              </w:rPr>
              <w:t>Dashboards, exports, permissions</w:t>
            </w:r>
          </w:p>
        </w:tc>
        <w:tc>
          <w:tcPr>
            <w:tcW w:type="dxa" w:w="2556"/>
            <w:vAlign w:val="center"/>
          </w:tcPr>
          <w:p>
            <w:r>
              <w:rPr>
                <w:sz w:val="17"/>
              </w:rPr>
              <w:t>Volume and latency unknown</w:t>
            </w:r>
          </w:p>
        </w:tc>
      </w:tr>
      <w:tr>
        <w:tc>
          <w:tcPr>
            <w:tcW w:type="dxa" w:w="2556"/>
            <w:vAlign w:val="center"/>
          </w:tcPr>
          <w:p>
            <w:r>
              <w:rPr>
                <w:sz w:val="17"/>
              </w:rPr>
              <w:t>Notifications</w:t>
            </w:r>
          </w:p>
        </w:tc>
        <w:tc>
          <w:tcPr>
            <w:tcW w:type="dxa" w:w="2556"/>
            <w:vAlign w:val="center"/>
          </w:tcPr>
          <w:p>
            <w:r>
              <w:rPr>
                <w:sz w:val="17"/>
              </w:rPr>
              <w:t>S</w:t>
            </w:r>
          </w:p>
        </w:tc>
        <w:tc>
          <w:tcPr>
            <w:tcW w:type="dxa" w:w="2556"/>
            <w:vAlign w:val="center"/>
          </w:tcPr>
          <w:p>
            <w:r>
              <w:rPr>
                <w:sz w:val="17"/>
              </w:rPr>
              <w:t>Email / in-app events</w:t>
            </w:r>
          </w:p>
        </w:tc>
        <w:tc>
          <w:tcPr>
            <w:tcW w:type="dxa" w:w="2556"/>
            <w:vAlign w:val="center"/>
          </w:tcPr>
          <w:p>
            <w:r>
              <w:rPr>
                <w:sz w:val="17"/>
              </w:rPr>
              <w:t>SMS out of scope</w:t>
            </w:r>
          </w:p>
        </w:tc>
      </w:tr>
      <w:tr>
        <w:tc>
          <w:tcPr>
            <w:tcW w:type="dxa" w:w="2556"/>
            <w:vAlign w:val="center"/>
          </w:tcPr>
          <w:p>
            <w:r>
              <w:rPr>
                <w:sz w:val="17"/>
              </w:rPr>
              <w:t>Administration</w:t>
            </w:r>
          </w:p>
        </w:tc>
        <w:tc>
          <w:tcPr>
            <w:tcW w:type="dxa" w:w="2556"/>
            <w:vAlign w:val="center"/>
          </w:tcPr>
          <w:p>
            <w:r>
              <w:rPr>
                <w:sz w:val="17"/>
              </w:rPr>
              <w:t>M</w:t>
            </w:r>
          </w:p>
        </w:tc>
        <w:tc>
          <w:tcPr>
            <w:tcW w:type="dxa" w:w="2556"/>
            <w:vAlign w:val="center"/>
          </w:tcPr>
          <w:p>
            <w:r>
              <w:rPr>
                <w:sz w:val="17"/>
              </w:rPr>
              <w:t>Configuration, support tools</w:t>
            </w:r>
          </w:p>
        </w:tc>
        <w:tc>
          <w:tcPr>
            <w:tcW w:type="dxa" w:w="2556"/>
            <w:vAlign w:val="center"/>
          </w:tcPr>
          <w:p>
            <w:r>
              <w:rPr>
                <w:sz w:val="17"/>
              </w:rPr>
              <w:t>Operating model TBD</w:t>
            </w:r>
          </w:p>
        </w:tc>
      </w:tr>
    </w:tbl>
    <w:p>
      <w:pPr>
        <w:pStyle w:val="SmallNote"/>
      </w:pPr>
      <w:r>
        <w:t>Suggested scale: S = straightforward; M = moderate; L = complex; XL = highly complex or materially uncertain.</w:t>
      </w:r>
    </w:p>
    <w:p>
      <w:pPr>
        <w:pStyle w:val="Heading2"/>
        <w:spacing w:before="100" w:after="80"/>
      </w:pPr>
      <w:r>
        <w:t>2.2 Integration Complexity</w:t>
      </w:r>
    </w:p>
    <w:p>
      <w:r>
        <w:t>Integrations are frequently underestimated. Track the number, ownership, protocol, data direction, availability and uncertainty of each interface.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r>
              <w:rPr>
                <w:b/>
                <w:color w:val="FFFFFF"/>
                <w:sz w:val="17"/>
              </w:rPr>
              <w:t>Integration Type</w:t>
            </w:r>
          </w:p>
        </w:tc>
        <w:tc>
          <w:tcPr>
            <w:tcW w:type="dxa" w:w="2045"/>
            <w:vAlign w:val="center"/>
            <w:shd w:fill="17365D"/>
          </w:tcPr>
          <w:p>
            <w:r>
              <w:rPr>
                <w:b/>
                <w:color w:val="FFFFFF"/>
                <w:sz w:val="17"/>
              </w:rPr>
              <w:t>Typical Complexity</w:t>
            </w:r>
          </w:p>
        </w:tc>
        <w:tc>
          <w:tcPr>
            <w:tcW w:type="dxa" w:w="2045"/>
            <w:vAlign w:val="center"/>
            <w:shd w:fill="17365D"/>
          </w:tcPr>
          <w:p>
            <w:r>
              <w:rPr>
                <w:b/>
                <w:color w:val="FFFFFF"/>
                <w:sz w:val="17"/>
              </w:rPr>
              <w:t>Questions to Ask</w:t>
            </w:r>
          </w:p>
        </w:tc>
        <w:tc>
          <w:tcPr>
            <w:tcW w:type="dxa" w:w="2045"/>
            <w:vAlign w:val="center"/>
            <w:shd w:fill="17365D"/>
          </w:tcPr>
          <w:p>
            <w:r>
              <w:rPr>
                <w:b/>
                <w:color w:val="FFFFFF"/>
                <w:sz w:val="17"/>
              </w:rPr>
              <w:t>Risk Indicators</w:t>
            </w:r>
          </w:p>
        </w:tc>
        <w:tc>
          <w:tcPr>
            <w:tcW w:type="dxa" w:w="2045"/>
            <w:vAlign w:val="center"/>
            <w:shd w:fill="17365D"/>
          </w:tcPr>
          <w:p>
            <w:r>
              <w:rPr>
                <w:b/>
                <w:color w:val="FFFFFF"/>
                <w:sz w:val="17"/>
              </w:rPr>
              <w:t>Metric</w:t>
            </w:r>
          </w:p>
        </w:tc>
      </w:tr>
      <w:tr>
        <w:tc>
          <w:tcPr>
            <w:tcW w:type="dxa" w:w="2045"/>
            <w:vAlign w:val="center"/>
          </w:tcPr>
          <w:p>
            <w:r>
              <w:rPr>
                <w:sz w:val="17"/>
              </w:rPr>
              <w:t>Existing internal REST API</w:t>
            </w:r>
          </w:p>
        </w:tc>
        <w:tc>
          <w:tcPr>
            <w:tcW w:type="dxa" w:w="2045"/>
            <w:vAlign w:val="center"/>
          </w:tcPr>
          <w:p>
            <w:r>
              <w:rPr>
                <w:sz w:val="17"/>
              </w:rPr>
              <w:t>Low-Medium</w:t>
            </w:r>
          </w:p>
        </w:tc>
        <w:tc>
          <w:tcPr>
            <w:tcW w:type="dxa" w:w="2045"/>
            <w:vAlign w:val="center"/>
          </w:tcPr>
          <w:p>
            <w:r>
              <w:rPr>
                <w:sz w:val="17"/>
              </w:rPr>
              <w:t>Is it documented and stable?</w:t>
            </w:r>
          </w:p>
        </w:tc>
        <w:tc>
          <w:tcPr>
            <w:tcW w:type="dxa" w:w="2045"/>
            <w:vAlign w:val="center"/>
          </w:tcPr>
          <w:p>
            <w:r>
              <w:rPr>
                <w:sz w:val="17"/>
              </w:rPr>
              <w:t>Rate limits, auth changes</w:t>
            </w:r>
          </w:p>
        </w:tc>
        <w:tc>
          <w:tcPr>
            <w:tcW w:type="dxa" w:w="2045"/>
            <w:vAlign w:val="center"/>
          </w:tcPr>
          <w:p>
            <w:r>
              <w:rPr>
                <w:sz w:val="17"/>
              </w:rPr>
              <w:t>Count + complexity</w:t>
            </w:r>
          </w:p>
        </w:tc>
      </w:tr>
      <w:tr>
        <w:tc>
          <w:tcPr>
            <w:tcW w:type="dxa" w:w="2045"/>
            <w:vAlign w:val="center"/>
          </w:tcPr>
          <w:p>
            <w:r>
              <w:rPr>
                <w:sz w:val="17"/>
              </w:rPr>
              <w:t>New internal interface</w:t>
            </w:r>
          </w:p>
        </w:tc>
        <w:tc>
          <w:tcPr>
            <w:tcW w:type="dxa" w:w="2045"/>
            <w:vAlign w:val="center"/>
          </w:tcPr>
          <w:p>
            <w:r>
              <w:rPr>
                <w:sz w:val="17"/>
              </w:rPr>
              <w:t>Medium</w:t>
            </w:r>
          </w:p>
        </w:tc>
        <w:tc>
          <w:tcPr>
            <w:tcW w:type="dxa" w:w="2045"/>
            <w:vAlign w:val="center"/>
          </w:tcPr>
          <w:p>
            <w:r>
              <w:rPr>
                <w:sz w:val="17"/>
              </w:rPr>
              <w:t>Who builds both ends?</w:t>
            </w:r>
          </w:p>
        </w:tc>
        <w:tc>
          <w:tcPr>
            <w:tcW w:type="dxa" w:w="2045"/>
            <w:vAlign w:val="center"/>
          </w:tcPr>
          <w:p>
            <w:r>
              <w:rPr>
                <w:sz w:val="17"/>
              </w:rPr>
              <w:t>Other-team dependency</w:t>
            </w:r>
          </w:p>
        </w:tc>
        <w:tc>
          <w:tcPr>
            <w:tcW w:type="dxa" w:w="2045"/>
            <w:vAlign w:val="center"/>
          </w:tcPr>
          <w:p>
            <w:r>
              <w:rPr>
                <w:sz w:val="17"/>
              </w:rPr>
              <w:t>Count + dependency</w:t>
            </w:r>
          </w:p>
        </w:tc>
      </w:tr>
      <w:tr>
        <w:tc>
          <w:tcPr>
            <w:tcW w:type="dxa" w:w="2045"/>
            <w:vAlign w:val="center"/>
          </w:tcPr>
          <w:p>
            <w:r>
              <w:rPr>
                <w:sz w:val="17"/>
              </w:rPr>
              <w:t>Legacy / mainframe</w:t>
            </w:r>
          </w:p>
        </w:tc>
        <w:tc>
          <w:tcPr>
            <w:tcW w:type="dxa" w:w="2045"/>
            <w:vAlign w:val="center"/>
          </w:tcPr>
          <w:p>
            <w:r>
              <w:rPr>
                <w:sz w:val="17"/>
              </w:rPr>
              <w:t>High</w:t>
            </w:r>
          </w:p>
        </w:tc>
        <w:tc>
          <w:tcPr>
            <w:tcW w:type="dxa" w:w="2045"/>
            <w:vAlign w:val="center"/>
          </w:tcPr>
          <w:p>
            <w:r>
              <w:rPr>
                <w:sz w:val="17"/>
              </w:rPr>
              <w:t>Batch? proprietary? test environment?</w:t>
            </w:r>
          </w:p>
        </w:tc>
        <w:tc>
          <w:tcPr>
            <w:tcW w:type="dxa" w:w="2045"/>
            <w:vAlign w:val="center"/>
          </w:tcPr>
          <w:p>
            <w:r>
              <w:rPr>
                <w:sz w:val="17"/>
              </w:rPr>
              <w:t>Limited expertise</w:t>
            </w:r>
          </w:p>
        </w:tc>
        <w:tc>
          <w:tcPr>
            <w:tcW w:type="dxa" w:w="2045"/>
            <w:vAlign w:val="center"/>
          </w:tcPr>
          <w:p>
            <w:r>
              <w:rPr>
                <w:sz w:val="17"/>
              </w:rPr>
              <w:t>High-risk integration count</w:t>
            </w:r>
          </w:p>
        </w:tc>
      </w:tr>
      <w:tr>
        <w:tc>
          <w:tcPr>
            <w:tcW w:type="dxa" w:w="2045"/>
            <w:vAlign w:val="center"/>
          </w:tcPr>
          <w:p>
            <w:r>
              <w:rPr>
                <w:sz w:val="17"/>
              </w:rPr>
              <w:t>External vendor</w:t>
            </w:r>
          </w:p>
        </w:tc>
        <w:tc>
          <w:tcPr>
            <w:tcW w:type="dxa" w:w="2045"/>
            <w:vAlign w:val="center"/>
          </w:tcPr>
          <w:p>
            <w:r>
              <w:rPr>
                <w:sz w:val="17"/>
              </w:rPr>
              <w:t>Medium-High</w:t>
            </w:r>
          </w:p>
        </w:tc>
        <w:tc>
          <w:tcPr>
            <w:tcW w:type="dxa" w:w="2045"/>
            <w:vAlign w:val="center"/>
          </w:tcPr>
          <w:p>
            <w:r>
              <w:rPr>
                <w:sz w:val="17"/>
              </w:rPr>
              <w:t>SLA? sandbox? support?</w:t>
            </w:r>
          </w:p>
        </w:tc>
        <w:tc>
          <w:tcPr>
            <w:tcW w:type="dxa" w:w="2045"/>
            <w:vAlign w:val="center"/>
          </w:tcPr>
          <w:p>
            <w:r>
              <w:rPr>
                <w:sz w:val="17"/>
              </w:rPr>
              <w:t>Contract / lead time</w:t>
            </w:r>
          </w:p>
        </w:tc>
        <w:tc>
          <w:tcPr>
            <w:tcW w:type="dxa" w:w="2045"/>
            <w:vAlign w:val="center"/>
          </w:tcPr>
          <w:p>
            <w:r>
              <w:rPr>
                <w:sz w:val="17"/>
              </w:rPr>
              <w:t>Vendor dependency count</w:t>
            </w:r>
          </w:p>
        </w:tc>
      </w:tr>
      <w:tr>
        <w:tc>
          <w:tcPr>
            <w:tcW w:type="dxa" w:w="2045"/>
            <w:vAlign w:val="center"/>
          </w:tcPr>
          <w:p>
            <w:r>
              <w:rPr>
                <w:sz w:val="17"/>
              </w:rPr>
              <w:t>Event / streaming</w:t>
            </w:r>
          </w:p>
        </w:tc>
        <w:tc>
          <w:tcPr>
            <w:tcW w:type="dxa" w:w="2045"/>
            <w:vAlign w:val="center"/>
          </w:tcPr>
          <w:p>
            <w:r>
              <w:rPr>
                <w:sz w:val="17"/>
              </w:rPr>
              <w:t>Medium-High</w:t>
            </w:r>
          </w:p>
        </w:tc>
        <w:tc>
          <w:tcPr>
            <w:tcW w:type="dxa" w:w="2045"/>
            <w:vAlign w:val="center"/>
          </w:tcPr>
          <w:p>
            <w:r>
              <w:rPr>
                <w:sz w:val="17"/>
              </w:rPr>
              <w:t>Ordering? replay? idempotency?</w:t>
            </w:r>
          </w:p>
        </w:tc>
        <w:tc>
          <w:tcPr>
            <w:tcW w:type="dxa" w:w="2045"/>
            <w:vAlign w:val="center"/>
          </w:tcPr>
          <w:p>
            <w:r>
              <w:rPr>
                <w:sz w:val="17"/>
              </w:rPr>
              <w:t>Operational complexity</w:t>
            </w:r>
          </w:p>
        </w:tc>
        <w:tc>
          <w:tcPr>
            <w:tcW w:type="dxa" w:w="2045"/>
            <w:vAlign w:val="center"/>
          </w:tcPr>
          <w:p>
            <w:r>
              <w:rPr>
                <w:sz w:val="17"/>
              </w:rPr>
              <w:t>Event flow count</w:t>
            </w:r>
          </w:p>
        </w:tc>
      </w:tr>
    </w:tbl>
    <w:p>
      <w:pPr>
        <w:pStyle w:val="Heading2"/>
        <w:spacing w:before="100" w:after="80"/>
      </w:pPr>
      <w:r>
        <w:t>2.3 Data Complexity</w:t>
      </w:r>
    </w:p>
    <w:p>
      <w:pPr>
        <w:pStyle w:val="ListBullet"/>
        <w:spacing w:after="30"/>
      </w:pPr>
      <w:r>
        <w:t>Number of source systems and target systems</w:t>
      </w:r>
    </w:p>
    <w:p>
      <w:pPr>
        <w:pStyle w:val="ListBullet"/>
        <w:spacing w:after="30"/>
      </w:pPr>
      <w:r>
        <w:t>Number of major data domains / entities</w:t>
      </w:r>
    </w:p>
    <w:p>
      <w:pPr>
        <w:pStyle w:val="ListBullet"/>
        <w:spacing w:after="30"/>
      </w:pPr>
      <w:r>
        <w:t>Data volume and growth</w:t>
      </w:r>
    </w:p>
    <w:p>
      <w:pPr>
        <w:pStyle w:val="ListBullet"/>
        <w:spacing w:after="30"/>
      </w:pPr>
      <w:r>
        <w:t>Historical migration period</w:t>
      </w:r>
    </w:p>
    <w:p>
      <w:pPr>
        <w:pStyle w:val="ListBullet"/>
        <w:spacing w:after="30"/>
      </w:pPr>
      <w:r>
        <w:t>Data cleansing and reconciliation requirements</w:t>
      </w:r>
    </w:p>
    <w:p>
      <w:pPr>
        <w:pStyle w:val="ListBullet"/>
        <w:spacing w:after="30"/>
      </w:pPr>
      <w:r>
        <w:t>Retention, archival and deletion requirements</w:t>
      </w:r>
    </w:p>
    <w:p>
      <w:pPr>
        <w:pStyle w:val="ListBullet"/>
        <w:spacing w:after="30"/>
      </w:pPr>
      <w:r>
        <w:t>Master-data or reference-data dependencies</w:t>
      </w:r>
    </w:p>
    <w:p>
      <w:pPr>
        <w:pStyle w:val="ListBullet"/>
        <w:spacing w:after="30"/>
      </w:pPr>
      <w:r>
        <w:t>PII / sensitive-data handling</w:t>
      </w:r>
    </w:p>
    <w:p>
      <w:pPr>
        <w:pStyle w:val="ListBullet"/>
        <w:spacing w:after="30"/>
      </w:pPr>
      <w:r>
        <w:t>Reporting and analytics requirements</w:t>
      </w:r>
    </w:p>
    <w:p>
      <w:pPr>
        <w:pStyle w:val="Heading2"/>
        <w:spacing w:before="100" w:after="80"/>
      </w:pPr>
      <w:r>
        <w:t>2.4 Non-Functional Requirements (NFRs)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Pr>
                <w:b/>
                <w:color w:val="FFFFFF"/>
                <w:sz w:val="17"/>
              </w:rPr>
              <w:t>NFR Area</w:t>
            </w:r>
          </w:p>
        </w:tc>
        <w:tc>
          <w:tcPr>
            <w:tcW w:type="dxa" w:w="2556"/>
            <w:vAlign w:val="center"/>
            <w:shd w:fill="17365D"/>
          </w:tcPr>
          <w:p>
            <w:r>
              <w:rPr>
                <w:b/>
                <w:color w:val="FFFFFF"/>
                <w:sz w:val="17"/>
              </w:rPr>
              <w:t>Low Complexity</w:t>
            </w:r>
          </w:p>
        </w:tc>
        <w:tc>
          <w:tcPr>
            <w:tcW w:type="dxa" w:w="2556"/>
            <w:vAlign w:val="center"/>
            <w:shd w:fill="17365D"/>
          </w:tcPr>
          <w:p>
            <w:r>
              <w:rPr>
                <w:b/>
                <w:color w:val="FFFFFF"/>
                <w:sz w:val="17"/>
              </w:rPr>
              <w:t>High Complexity Indicator</w:t>
            </w:r>
          </w:p>
        </w:tc>
        <w:tc>
          <w:tcPr>
            <w:tcW w:type="dxa" w:w="2556"/>
            <w:vAlign w:val="center"/>
            <w:shd w:fill="17365D"/>
          </w:tcPr>
          <w:p>
            <w:r>
              <w:rPr>
                <w:b/>
                <w:color w:val="FFFFFF"/>
                <w:sz w:val="17"/>
              </w:rPr>
              <w:t>Current Rating</w:t>
            </w:r>
          </w:p>
        </w:tc>
      </w:tr>
      <w:tr>
        <w:tc>
          <w:tcPr>
            <w:tcW w:type="dxa" w:w="2556"/>
            <w:vAlign w:val="center"/>
          </w:tcPr>
          <w:p>
            <w:r>
              <w:rPr>
                <w:sz w:val="17"/>
              </w:rPr>
              <w:t>Availability</w:t>
            </w:r>
          </w:p>
        </w:tc>
        <w:tc>
          <w:tcPr>
            <w:tcW w:type="dxa" w:w="2556"/>
            <w:vAlign w:val="center"/>
          </w:tcPr>
          <w:p>
            <w:r>
              <w:rPr>
                <w:sz w:val="17"/>
              </w:rPr>
              <w:t>Business-hours service</w:t>
            </w:r>
          </w:p>
        </w:tc>
        <w:tc>
          <w:tcPr>
            <w:tcW w:type="dxa" w:w="2556"/>
            <w:vAlign w:val="center"/>
          </w:tcPr>
          <w:p>
            <w:r>
              <w:rPr>
                <w:sz w:val="17"/>
              </w:rPr>
              <w:t>24x7, multi-region, strict SLA</w:t>
            </w:r>
          </w:p>
        </w:tc>
        <w:tc>
          <w:tcPr>
            <w:tcW w:type="dxa" w:w="2556"/>
            <w:vAlign w:val="center"/>
          </w:tcPr>
          <w:p>
            <w:r>
              <w:rPr>
                <w:sz w:val="17"/>
              </w:rPr>
              <w:t>Unknown</w:t>
            </w:r>
          </w:p>
        </w:tc>
      </w:tr>
      <w:tr>
        <w:tc>
          <w:tcPr>
            <w:tcW w:type="dxa" w:w="2556"/>
            <w:vAlign w:val="center"/>
          </w:tcPr>
          <w:p>
            <w:r>
              <w:rPr>
                <w:sz w:val="17"/>
              </w:rPr>
              <w:t>Performance</w:t>
            </w:r>
          </w:p>
        </w:tc>
        <w:tc>
          <w:tcPr>
            <w:tcW w:type="dxa" w:w="2556"/>
            <w:vAlign w:val="center"/>
          </w:tcPr>
          <w:p>
            <w:r>
              <w:rPr>
                <w:sz w:val="17"/>
              </w:rPr>
              <w:t>Normal interactive use</w:t>
            </w:r>
          </w:p>
        </w:tc>
        <w:tc>
          <w:tcPr>
            <w:tcW w:type="dxa" w:w="2556"/>
            <w:vAlign w:val="center"/>
          </w:tcPr>
          <w:p>
            <w:r>
              <w:rPr>
                <w:sz w:val="17"/>
              </w:rPr>
              <w:t>High transaction rate / low latency</w:t>
            </w:r>
          </w:p>
        </w:tc>
        <w:tc>
          <w:tcPr>
            <w:tcW w:type="dxa" w:w="2556"/>
            <w:vAlign w:val="center"/>
          </w:tcPr>
          <w:p>
            <w:r>
              <w:rPr>
                <w:sz w:val="17"/>
              </w:rPr>
              <w:t>Unknown</w:t>
            </w:r>
          </w:p>
        </w:tc>
      </w:tr>
      <w:tr>
        <w:tc>
          <w:tcPr>
            <w:tcW w:type="dxa" w:w="2556"/>
            <w:vAlign w:val="center"/>
          </w:tcPr>
          <w:p>
            <w:r>
              <w:rPr>
                <w:sz w:val="17"/>
              </w:rPr>
              <w:t>Scalability</w:t>
            </w:r>
          </w:p>
        </w:tc>
        <w:tc>
          <w:tcPr>
            <w:tcW w:type="dxa" w:w="2556"/>
            <w:vAlign w:val="center"/>
          </w:tcPr>
          <w:p>
            <w:r>
              <w:rPr>
                <w:sz w:val="17"/>
              </w:rPr>
              <w:t>Predictable user base</w:t>
            </w:r>
          </w:p>
        </w:tc>
        <w:tc>
          <w:tcPr>
            <w:tcW w:type="dxa" w:w="2556"/>
            <w:vAlign w:val="center"/>
          </w:tcPr>
          <w:p>
            <w:r>
              <w:rPr>
                <w:sz w:val="17"/>
              </w:rPr>
              <w:t>Rapid or highly variable growth</w:t>
            </w:r>
          </w:p>
        </w:tc>
        <w:tc>
          <w:tcPr>
            <w:tcW w:type="dxa" w:w="2556"/>
            <w:vAlign w:val="center"/>
          </w:tcPr>
          <w:p>
            <w:r>
              <w:rPr>
                <w:sz w:val="17"/>
              </w:rPr>
              <w:t>Unknown</w:t>
            </w:r>
          </w:p>
        </w:tc>
      </w:tr>
      <w:tr>
        <w:tc>
          <w:tcPr>
            <w:tcW w:type="dxa" w:w="2556"/>
            <w:vAlign w:val="center"/>
          </w:tcPr>
          <w:p>
            <w:r>
              <w:rPr>
                <w:sz w:val="17"/>
              </w:rPr>
              <w:t>Security</w:t>
            </w:r>
          </w:p>
        </w:tc>
        <w:tc>
          <w:tcPr>
            <w:tcW w:type="dxa" w:w="2556"/>
            <w:vAlign w:val="center"/>
          </w:tcPr>
          <w:p>
            <w:r>
              <w:rPr>
                <w:sz w:val="17"/>
              </w:rPr>
              <w:t>Standard enterprise controls</w:t>
            </w:r>
          </w:p>
        </w:tc>
        <w:tc>
          <w:tcPr>
            <w:tcW w:type="dxa" w:w="2556"/>
            <w:vAlign w:val="center"/>
          </w:tcPr>
          <w:p>
            <w:r>
              <w:rPr>
                <w:sz w:val="17"/>
              </w:rPr>
              <w:t>Privileged workflows / sensitive data</w:t>
            </w:r>
          </w:p>
        </w:tc>
        <w:tc>
          <w:tcPr>
            <w:tcW w:type="dxa" w:w="2556"/>
            <w:vAlign w:val="center"/>
          </w:tcPr>
          <w:p>
            <w:r>
              <w:rPr>
                <w:sz w:val="17"/>
              </w:rPr>
              <w:t>Unknown</w:t>
            </w:r>
          </w:p>
        </w:tc>
      </w:tr>
      <w:tr>
        <w:tc>
          <w:tcPr>
            <w:tcW w:type="dxa" w:w="2556"/>
            <w:vAlign w:val="center"/>
          </w:tcPr>
          <w:p>
            <w:r>
              <w:rPr>
                <w:sz w:val="17"/>
              </w:rPr>
              <w:t>Audit</w:t>
            </w:r>
          </w:p>
        </w:tc>
        <w:tc>
          <w:tcPr>
            <w:tcW w:type="dxa" w:w="2556"/>
            <w:vAlign w:val="center"/>
          </w:tcPr>
          <w:p>
            <w:r>
              <w:rPr>
                <w:sz w:val="17"/>
              </w:rPr>
              <w:t>Basic logs</w:t>
            </w:r>
          </w:p>
        </w:tc>
        <w:tc>
          <w:tcPr>
            <w:tcW w:type="dxa" w:w="2556"/>
            <w:vAlign w:val="center"/>
          </w:tcPr>
          <w:p>
            <w:r>
              <w:rPr>
                <w:sz w:val="17"/>
              </w:rPr>
              <w:t>Regulated immutable audit trail</w:t>
            </w:r>
          </w:p>
        </w:tc>
        <w:tc>
          <w:tcPr>
            <w:tcW w:type="dxa" w:w="2556"/>
            <w:vAlign w:val="center"/>
          </w:tcPr>
          <w:p>
            <w:r>
              <w:rPr>
                <w:sz w:val="17"/>
              </w:rPr>
              <w:t>Unknown</w:t>
            </w:r>
          </w:p>
        </w:tc>
      </w:tr>
      <w:tr>
        <w:tc>
          <w:tcPr>
            <w:tcW w:type="dxa" w:w="2556"/>
            <w:vAlign w:val="center"/>
          </w:tcPr>
          <w:p>
            <w:r>
              <w:rPr>
                <w:sz w:val="17"/>
              </w:rPr>
              <w:t>Disaster Recovery</w:t>
            </w:r>
          </w:p>
        </w:tc>
        <w:tc>
          <w:tcPr>
            <w:tcW w:type="dxa" w:w="2556"/>
            <w:vAlign w:val="center"/>
          </w:tcPr>
          <w:p>
            <w:r>
              <w:rPr>
                <w:sz w:val="17"/>
              </w:rPr>
              <w:t>Restore from backups</w:t>
            </w:r>
          </w:p>
        </w:tc>
        <w:tc>
          <w:tcPr>
            <w:tcW w:type="dxa" w:w="2556"/>
            <w:vAlign w:val="center"/>
          </w:tcPr>
          <w:p>
            <w:r>
              <w:rPr>
                <w:sz w:val="17"/>
              </w:rPr>
              <w:t>Tight RTO / RPO</w:t>
            </w:r>
          </w:p>
        </w:tc>
        <w:tc>
          <w:tcPr>
            <w:tcW w:type="dxa" w:w="2556"/>
            <w:vAlign w:val="center"/>
          </w:tcPr>
          <w:p>
            <w:r>
              <w:rPr>
                <w:sz w:val="17"/>
              </w:rPr>
              <w:t>Unknown</w:t>
            </w:r>
          </w:p>
        </w:tc>
      </w:tr>
      <w:tr>
        <w:tc>
          <w:tcPr>
            <w:tcW w:type="dxa" w:w="2556"/>
            <w:vAlign w:val="center"/>
          </w:tcPr>
          <w:p>
            <w:r>
              <w:rPr>
                <w:sz w:val="17"/>
              </w:rPr>
              <w:t>Accessibility</w:t>
            </w:r>
          </w:p>
        </w:tc>
        <w:tc>
          <w:tcPr>
            <w:tcW w:type="dxa" w:w="2556"/>
            <w:vAlign w:val="center"/>
          </w:tcPr>
          <w:p>
            <w:r>
              <w:rPr>
                <w:sz w:val="17"/>
              </w:rPr>
              <w:t>Standard web accessibility</w:t>
            </w:r>
          </w:p>
        </w:tc>
        <w:tc>
          <w:tcPr>
            <w:tcW w:type="dxa" w:w="2556"/>
            <w:vAlign w:val="center"/>
          </w:tcPr>
          <w:p>
            <w:r>
              <w:rPr>
                <w:sz w:val="17"/>
              </w:rPr>
              <w:t>Strict regulatory / multi-channel</w:t>
            </w:r>
          </w:p>
        </w:tc>
        <w:tc>
          <w:tcPr>
            <w:tcW w:type="dxa" w:w="2556"/>
            <w:vAlign w:val="center"/>
          </w:tcPr>
          <w:p>
            <w:r>
              <w:rPr>
                <w:sz w:val="17"/>
              </w:rPr>
              <w:t>Unknown</w:t>
            </w:r>
          </w:p>
        </w:tc>
      </w:tr>
      <w:tr>
        <w:tc>
          <w:tcPr>
            <w:tcW w:type="dxa" w:w="2556"/>
            <w:vAlign w:val="center"/>
          </w:tcPr>
          <w:p>
            <w:r>
              <w:rPr>
                <w:sz w:val="17"/>
              </w:rPr>
              <w:t>Observability</w:t>
            </w:r>
          </w:p>
        </w:tc>
        <w:tc>
          <w:tcPr>
            <w:tcW w:type="dxa" w:w="2556"/>
            <w:vAlign w:val="center"/>
          </w:tcPr>
          <w:p>
            <w:r>
              <w:rPr>
                <w:sz w:val="17"/>
              </w:rPr>
              <w:t>Standard monitoring</w:t>
            </w:r>
          </w:p>
        </w:tc>
        <w:tc>
          <w:tcPr>
            <w:tcW w:type="dxa" w:w="2556"/>
            <w:vAlign w:val="center"/>
          </w:tcPr>
          <w:p>
            <w:r>
              <w:rPr>
                <w:sz w:val="17"/>
              </w:rPr>
              <w:t>Distributed tracing / complex SLOs</w:t>
            </w:r>
          </w:p>
        </w:tc>
        <w:tc>
          <w:tcPr>
            <w:tcW w:type="dxa" w:w="2556"/>
            <w:vAlign w:val="center"/>
          </w:tcPr>
          <w:p>
            <w:r>
              <w:rPr>
                <w:sz w:val="17"/>
              </w:rPr>
              <w:t>Unknown</w:t>
            </w:r>
          </w:p>
        </w:tc>
      </w:tr>
    </w:tbl>
    <w:p>
      <w:pPr>
        <w:pStyle w:val="Heading2"/>
        <w:spacing w:before="100" w:after="80"/>
      </w:pPr>
      <w:r>
        <w:t>2.5 Technical Uncertainty</w:t>
      </w:r>
    </w:p>
    <w:p>
      <w:r>
        <w:t>Treat uncertainty as a first-class metric. Unknowns should not disappear inside estimates; they should be recorded and driven down.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Pr>
                <w:b/>
                <w:color w:val="FFFFFF"/>
                <w:sz w:val="17"/>
              </w:rPr>
              <w:t>Area</w:t>
            </w:r>
          </w:p>
        </w:tc>
        <w:tc>
          <w:tcPr>
            <w:tcW w:type="dxa" w:w="3408"/>
            <w:vAlign w:val="center"/>
            <w:shd w:fill="17365D"/>
          </w:tcPr>
          <w:p>
            <w:r>
              <w:rPr>
                <w:b/>
                <w:color w:val="FFFFFF"/>
                <w:sz w:val="17"/>
              </w:rPr>
              <w:t>Example Rating</w:t>
            </w:r>
          </w:p>
        </w:tc>
        <w:tc>
          <w:tcPr>
            <w:tcW w:type="dxa" w:w="3408"/>
            <w:vAlign w:val="center"/>
            <w:shd w:fill="17365D"/>
          </w:tcPr>
          <w:p>
            <w:r>
              <w:rPr>
                <w:b/>
                <w:color w:val="FFFFFF"/>
                <w:sz w:val="17"/>
              </w:rPr>
              <w:t>Typical Evidence Needed to Reduce Uncertainty</w:t>
            </w:r>
          </w:p>
        </w:tc>
      </w:tr>
      <w:tr>
        <w:tc>
          <w:tcPr>
            <w:tcW w:type="dxa" w:w="3408"/>
            <w:vAlign w:val="center"/>
          </w:tcPr>
          <w:p>
            <w:r>
              <w:rPr>
                <w:sz w:val="17"/>
              </w:rPr>
              <w:t>Requirements</w:t>
            </w:r>
          </w:p>
        </w:tc>
        <w:tc>
          <w:tcPr>
            <w:tcW w:type="dxa" w:w="3408"/>
            <w:vAlign w:val="center"/>
          </w:tcPr>
          <w:p>
            <w:r>
              <w:rPr>
                <w:sz w:val="17"/>
              </w:rPr>
              <w:t>High</w:t>
            </w:r>
          </w:p>
        </w:tc>
        <w:tc>
          <w:tcPr>
            <w:tcW w:type="dxa" w:w="3408"/>
            <w:vAlign w:val="center"/>
          </w:tcPr>
          <w:p>
            <w:r>
              <w:rPr>
                <w:sz w:val="17"/>
              </w:rPr>
              <w:t>Approved scope, process maps, business rules</w:t>
            </w:r>
          </w:p>
        </w:tc>
      </w:tr>
      <w:tr>
        <w:tc>
          <w:tcPr>
            <w:tcW w:type="dxa" w:w="3408"/>
            <w:vAlign w:val="center"/>
          </w:tcPr>
          <w:p>
            <w:r>
              <w:rPr>
                <w:sz w:val="17"/>
              </w:rPr>
              <w:t>Architecture</w:t>
            </w:r>
          </w:p>
        </w:tc>
        <w:tc>
          <w:tcPr>
            <w:tcW w:type="dxa" w:w="3408"/>
            <w:vAlign w:val="center"/>
          </w:tcPr>
          <w:p>
            <w:r>
              <w:rPr>
                <w:sz w:val="17"/>
              </w:rPr>
              <w:t>High</w:t>
            </w:r>
          </w:p>
        </w:tc>
        <w:tc>
          <w:tcPr>
            <w:tcW w:type="dxa" w:w="3408"/>
            <w:vAlign w:val="center"/>
          </w:tcPr>
          <w:p>
            <w:r>
              <w:rPr>
                <w:sz w:val="17"/>
              </w:rPr>
              <w:t>Target architecture and technology choices</w:t>
            </w:r>
          </w:p>
        </w:tc>
      </w:tr>
      <w:tr>
        <w:tc>
          <w:tcPr>
            <w:tcW w:type="dxa" w:w="3408"/>
            <w:vAlign w:val="center"/>
          </w:tcPr>
          <w:p>
            <w:r>
              <w:rPr>
                <w:sz w:val="17"/>
              </w:rPr>
              <w:t>Integrations</w:t>
            </w:r>
          </w:p>
        </w:tc>
        <w:tc>
          <w:tcPr>
            <w:tcW w:type="dxa" w:w="3408"/>
            <w:vAlign w:val="center"/>
          </w:tcPr>
          <w:p>
            <w:r>
              <w:rPr>
                <w:sz w:val="17"/>
              </w:rPr>
              <w:t>Medium-High</w:t>
            </w:r>
          </w:p>
        </w:tc>
        <w:tc>
          <w:tcPr>
            <w:tcW w:type="dxa" w:w="3408"/>
            <w:vAlign w:val="center"/>
          </w:tcPr>
          <w:p>
            <w:r>
              <w:rPr>
                <w:sz w:val="17"/>
              </w:rPr>
              <w:t>Interface contracts and environment access</w:t>
            </w:r>
          </w:p>
        </w:tc>
      </w:tr>
      <w:tr>
        <w:tc>
          <w:tcPr>
            <w:tcW w:type="dxa" w:w="3408"/>
            <w:vAlign w:val="center"/>
          </w:tcPr>
          <w:p>
            <w:r>
              <w:rPr>
                <w:sz w:val="17"/>
              </w:rPr>
              <w:t>Data migration</w:t>
            </w:r>
          </w:p>
        </w:tc>
        <w:tc>
          <w:tcPr>
            <w:tcW w:type="dxa" w:w="3408"/>
            <w:vAlign w:val="center"/>
          </w:tcPr>
          <w:p>
            <w:r>
              <w:rPr>
                <w:sz w:val="17"/>
              </w:rPr>
              <w:t>High</w:t>
            </w:r>
          </w:p>
        </w:tc>
        <w:tc>
          <w:tcPr>
            <w:tcW w:type="dxa" w:w="3408"/>
            <w:vAlign w:val="center"/>
          </w:tcPr>
          <w:p>
            <w:r>
              <w:rPr>
                <w:sz w:val="17"/>
              </w:rPr>
              <w:t>Profiling, mapping and volume analysis</w:t>
            </w:r>
          </w:p>
        </w:tc>
      </w:tr>
      <w:tr>
        <w:tc>
          <w:tcPr>
            <w:tcW w:type="dxa" w:w="3408"/>
            <w:vAlign w:val="center"/>
          </w:tcPr>
          <w:p>
            <w:r>
              <w:rPr>
                <w:sz w:val="17"/>
              </w:rPr>
              <w:t>Security</w:t>
            </w:r>
          </w:p>
        </w:tc>
        <w:tc>
          <w:tcPr>
            <w:tcW w:type="dxa" w:w="3408"/>
            <w:vAlign w:val="center"/>
          </w:tcPr>
          <w:p>
            <w:r>
              <w:rPr>
                <w:sz w:val="17"/>
              </w:rPr>
              <w:t>Medium</w:t>
            </w:r>
          </w:p>
        </w:tc>
        <w:tc>
          <w:tcPr>
            <w:tcW w:type="dxa" w:w="3408"/>
            <w:vAlign w:val="center"/>
          </w:tcPr>
          <w:p>
            <w:r>
              <w:rPr>
                <w:sz w:val="17"/>
              </w:rPr>
              <w:t>Threat model, control requirements, approvals</w:t>
            </w:r>
          </w:p>
        </w:tc>
      </w:tr>
      <w:tr>
        <w:tc>
          <w:tcPr>
            <w:tcW w:type="dxa" w:w="3408"/>
            <w:vAlign w:val="center"/>
          </w:tcPr>
          <w:p>
            <w:r>
              <w:rPr>
                <w:sz w:val="17"/>
              </w:rPr>
              <w:t>Infrastructure</w:t>
            </w:r>
          </w:p>
        </w:tc>
        <w:tc>
          <w:tcPr>
            <w:tcW w:type="dxa" w:w="3408"/>
            <w:vAlign w:val="center"/>
          </w:tcPr>
          <w:p>
            <w:r>
              <w:rPr>
                <w:sz w:val="17"/>
              </w:rPr>
              <w:t>Medium</w:t>
            </w:r>
          </w:p>
        </w:tc>
        <w:tc>
          <w:tcPr>
            <w:tcW w:type="dxa" w:w="3408"/>
            <w:vAlign w:val="center"/>
          </w:tcPr>
          <w:p>
            <w:r>
              <w:rPr>
                <w:sz w:val="17"/>
              </w:rPr>
              <w:t>Hosting pattern, environments, network dependencies</w:t>
            </w:r>
          </w:p>
        </w:tc>
      </w:tr>
    </w:tbl>
    <w:p>
      <w:pPr>
        <w:pStyle w:val="Heading2"/>
        <w:spacing w:before="100" w:after="80"/>
      </w:pPr>
      <w:r>
        <w:t>2.6 Assumptions, Unknowns and Dependencies</w:t>
      </w:r>
    </w:p>
    <w:p>
      <w:pPr>
        <w:pStyle w:val="ListBullet"/>
        <w:spacing w:after="30"/>
      </w:pPr>
      <w:r>
        <w:t>Assumptions: statements currently treated as true for estimation.</w:t>
      </w:r>
    </w:p>
    <w:p>
      <w:pPr>
        <w:pStyle w:val="ListBullet"/>
        <w:spacing w:after="30"/>
      </w:pPr>
      <w:r>
        <w:t>Unknowns: information not yet available that could materially change effort or duration.</w:t>
      </w:r>
    </w:p>
    <w:p>
      <w:pPr>
        <w:pStyle w:val="ListBullet"/>
        <w:spacing w:after="30"/>
      </w:pPr>
      <w:r>
        <w:t>Dependencies: people, teams, suppliers, systems or approvals required to proceed.</w:t>
      </w:r>
    </w:p>
    <w:p>
      <w:pPr>
        <w:pStyle w:val="ListBullet"/>
        <w:spacing w:after="30"/>
      </w:pPr>
      <w:r>
        <w:t>Constraints: fixed dates, technologies, regulations, budgets or operational limits.</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17365D"/>
                <w:sz w:val="20"/>
              </w:rPr>
              <w:t>Good early-stage dashboard</w:t>
              <w:br/>
            </w:r>
            <w:r>
              <w:rPr>
                <w:sz w:val="18"/>
              </w:rPr>
              <w:t>Show: capability count by complexity; number of integrations; high-risk integrations; number of data sources; NFR ratings; major assumptions; major unknowns; critical dependencies; estimate range; uncertainty reserve; and estimate confidence.</w:t>
            </w:r>
          </w:p>
        </w:tc>
      </w:tr>
    </w:tbl>
    <w:p>
      <w:pPr>
        <w:spacing w:after="0"/>
      </w:pPr>
    </w:p>
    <w:p>
      <w:pPr>
        <w:pStyle w:val="Heading1"/>
        <w:spacing w:before="160" w:after="80"/>
      </w:pPr>
      <w:r>
        <w:t>3. A Simple Complexity Scoring Model</w:t>
      </w:r>
    </w:p>
    <w:p>
      <w:r>
        <w:t>A lightweight score can help compare projects before detailed estimates exist. This is not a substitute for engineering judgement; it is a consistency mechanism.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r>
              <w:rPr>
                <w:b/>
                <w:color w:val="FFFFFF"/>
                <w:sz w:val="17"/>
              </w:rPr>
              <w:t>Dimension</w:t>
            </w:r>
          </w:p>
        </w:tc>
        <w:tc>
          <w:tcPr>
            <w:tcW w:type="dxa" w:w="2045"/>
            <w:vAlign w:val="center"/>
            <w:shd w:fill="17365D"/>
          </w:tcPr>
          <w:p>
            <w:r>
              <w:rPr>
                <w:b/>
                <w:color w:val="FFFFFF"/>
                <w:sz w:val="17"/>
              </w:rPr>
              <w:t>1 - Low</w:t>
            </w:r>
          </w:p>
        </w:tc>
        <w:tc>
          <w:tcPr>
            <w:tcW w:type="dxa" w:w="2045"/>
            <w:vAlign w:val="center"/>
            <w:shd w:fill="17365D"/>
          </w:tcPr>
          <w:p>
            <w:r>
              <w:rPr>
                <w:b/>
                <w:color w:val="FFFFFF"/>
                <w:sz w:val="17"/>
              </w:rPr>
              <w:t>2 - Moderate</w:t>
            </w:r>
          </w:p>
        </w:tc>
        <w:tc>
          <w:tcPr>
            <w:tcW w:type="dxa" w:w="2045"/>
            <w:vAlign w:val="center"/>
            <w:shd w:fill="17365D"/>
          </w:tcPr>
          <w:p>
            <w:r>
              <w:rPr>
                <w:b/>
                <w:color w:val="FFFFFF"/>
                <w:sz w:val="17"/>
              </w:rPr>
              <w:t>3 - High</w:t>
            </w:r>
          </w:p>
        </w:tc>
        <w:tc>
          <w:tcPr>
            <w:tcW w:type="dxa" w:w="2045"/>
            <w:vAlign w:val="center"/>
            <w:shd w:fill="17365D"/>
          </w:tcPr>
          <w:p>
            <w:r>
              <w:rPr>
                <w:b/>
                <w:color w:val="FFFFFF"/>
                <w:sz w:val="17"/>
              </w:rPr>
              <w:t>Weight (example)</w:t>
            </w:r>
          </w:p>
        </w:tc>
      </w:tr>
      <w:tr>
        <w:tc>
          <w:tcPr>
            <w:tcW w:type="dxa" w:w="2045"/>
            <w:vAlign w:val="center"/>
          </w:tcPr>
          <w:p>
            <w:r>
              <w:rPr>
                <w:sz w:val="17"/>
              </w:rPr>
              <w:t>Functional complexity</w:t>
            </w:r>
          </w:p>
        </w:tc>
        <w:tc>
          <w:tcPr>
            <w:tcW w:type="dxa" w:w="2045"/>
            <w:vAlign w:val="center"/>
          </w:tcPr>
          <w:p>
            <w:r>
              <w:rPr>
                <w:sz w:val="17"/>
              </w:rPr>
              <w:t>Few simple capabilities</w:t>
            </w:r>
          </w:p>
        </w:tc>
        <w:tc>
          <w:tcPr>
            <w:tcW w:type="dxa" w:w="2045"/>
            <w:vAlign w:val="center"/>
          </w:tcPr>
          <w:p>
            <w:r>
              <w:rPr>
                <w:sz w:val="17"/>
              </w:rPr>
              <w:t>Multiple workflows</w:t>
            </w:r>
          </w:p>
        </w:tc>
        <w:tc>
          <w:tcPr>
            <w:tcW w:type="dxa" w:w="2045"/>
            <w:vAlign w:val="center"/>
          </w:tcPr>
          <w:p>
            <w:r>
              <w:rPr>
                <w:sz w:val="17"/>
              </w:rPr>
              <w:t>Complex rules / many actors</w:t>
            </w:r>
          </w:p>
        </w:tc>
        <w:tc>
          <w:tcPr>
            <w:tcW w:type="dxa" w:w="2045"/>
            <w:vAlign w:val="center"/>
          </w:tcPr>
          <w:p>
            <w:r>
              <w:rPr>
                <w:sz w:val="17"/>
              </w:rPr>
              <w:t>25%</w:t>
            </w:r>
          </w:p>
        </w:tc>
      </w:tr>
      <w:tr>
        <w:tc>
          <w:tcPr>
            <w:tcW w:type="dxa" w:w="2045"/>
            <w:vAlign w:val="center"/>
          </w:tcPr>
          <w:p>
            <w:r>
              <w:rPr>
                <w:sz w:val="17"/>
              </w:rPr>
              <w:t>Integrations</w:t>
            </w:r>
          </w:p>
        </w:tc>
        <w:tc>
          <w:tcPr>
            <w:tcW w:type="dxa" w:w="2045"/>
            <w:vAlign w:val="center"/>
          </w:tcPr>
          <w:p>
            <w:r>
              <w:rPr>
                <w:sz w:val="17"/>
              </w:rPr>
              <w:t>0-2 stable</w:t>
            </w:r>
          </w:p>
        </w:tc>
        <w:tc>
          <w:tcPr>
            <w:tcW w:type="dxa" w:w="2045"/>
            <w:vAlign w:val="center"/>
          </w:tcPr>
          <w:p>
            <w:r>
              <w:rPr>
                <w:sz w:val="17"/>
              </w:rPr>
              <w:t>3-5 mixed</w:t>
            </w:r>
          </w:p>
        </w:tc>
        <w:tc>
          <w:tcPr>
            <w:tcW w:type="dxa" w:w="2045"/>
            <w:vAlign w:val="center"/>
          </w:tcPr>
          <w:p>
            <w:r>
              <w:rPr>
                <w:sz w:val="17"/>
              </w:rPr>
              <w:t>6+ or legacy/vendor-heavy</w:t>
            </w:r>
          </w:p>
        </w:tc>
        <w:tc>
          <w:tcPr>
            <w:tcW w:type="dxa" w:w="2045"/>
            <w:vAlign w:val="center"/>
          </w:tcPr>
          <w:p>
            <w:r>
              <w:rPr>
                <w:sz w:val="17"/>
              </w:rPr>
              <w:t>20%</w:t>
            </w:r>
          </w:p>
        </w:tc>
      </w:tr>
      <w:tr>
        <w:tc>
          <w:tcPr>
            <w:tcW w:type="dxa" w:w="2045"/>
            <w:vAlign w:val="center"/>
          </w:tcPr>
          <w:p>
            <w:r>
              <w:rPr>
                <w:sz w:val="17"/>
              </w:rPr>
              <w:t>Data</w:t>
            </w:r>
          </w:p>
        </w:tc>
        <w:tc>
          <w:tcPr>
            <w:tcW w:type="dxa" w:w="2045"/>
            <w:vAlign w:val="center"/>
          </w:tcPr>
          <w:p>
            <w:r>
              <w:rPr>
                <w:sz w:val="17"/>
              </w:rPr>
              <w:t>Simple CRUD</w:t>
            </w:r>
          </w:p>
        </w:tc>
        <w:tc>
          <w:tcPr>
            <w:tcW w:type="dxa" w:w="2045"/>
            <w:vAlign w:val="center"/>
          </w:tcPr>
          <w:p>
            <w:r>
              <w:rPr>
                <w:sz w:val="17"/>
              </w:rPr>
              <w:t>Migration/reporting</w:t>
            </w:r>
          </w:p>
        </w:tc>
        <w:tc>
          <w:tcPr>
            <w:tcW w:type="dxa" w:w="2045"/>
            <w:vAlign w:val="center"/>
          </w:tcPr>
          <w:p>
            <w:r>
              <w:rPr>
                <w:sz w:val="17"/>
              </w:rPr>
              <w:t>Large/dirty/regulatory data</w:t>
            </w:r>
          </w:p>
        </w:tc>
        <w:tc>
          <w:tcPr>
            <w:tcW w:type="dxa" w:w="2045"/>
            <w:vAlign w:val="center"/>
          </w:tcPr>
          <w:p>
            <w:r>
              <w:rPr>
                <w:sz w:val="17"/>
              </w:rPr>
              <w:t>15%</w:t>
            </w:r>
          </w:p>
        </w:tc>
      </w:tr>
      <w:tr>
        <w:tc>
          <w:tcPr>
            <w:tcW w:type="dxa" w:w="2045"/>
            <w:vAlign w:val="center"/>
          </w:tcPr>
          <w:p>
            <w:r>
              <w:rPr>
                <w:sz w:val="17"/>
              </w:rPr>
              <w:t>NFRs</w:t>
            </w:r>
          </w:p>
        </w:tc>
        <w:tc>
          <w:tcPr>
            <w:tcW w:type="dxa" w:w="2045"/>
            <w:vAlign w:val="center"/>
          </w:tcPr>
          <w:p>
            <w:r>
              <w:rPr>
                <w:sz w:val="17"/>
              </w:rPr>
              <w:t>Standard</w:t>
            </w:r>
          </w:p>
        </w:tc>
        <w:tc>
          <w:tcPr>
            <w:tcW w:type="dxa" w:w="2045"/>
            <w:vAlign w:val="center"/>
          </w:tcPr>
          <w:p>
            <w:r>
              <w:rPr>
                <w:sz w:val="17"/>
              </w:rPr>
              <w:t>Some strict NFRs</w:t>
            </w:r>
          </w:p>
        </w:tc>
        <w:tc>
          <w:tcPr>
            <w:tcW w:type="dxa" w:w="2045"/>
            <w:vAlign w:val="center"/>
          </w:tcPr>
          <w:p>
            <w:r>
              <w:rPr>
                <w:sz w:val="17"/>
              </w:rPr>
              <w:t>High availability/security/performance</w:t>
            </w:r>
          </w:p>
        </w:tc>
        <w:tc>
          <w:tcPr>
            <w:tcW w:type="dxa" w:w="2045"/>
            <w:vAlign w:val="center"/>
          </w:tcPr>
          <w:p>
            <w:r>
              <w:rPr>
                <w:sz w:val="17"/>
              </w:rPr>
              <w:t>15%</w:t>
            </w:r>
          </w:p>
        </w:tc>
      </w:tr>
      <w:tr>
        <w:tc>
          <w:tcPr>
            <w:tcW w:type="dxa" w:w="2045"/>
            <w:vAlign w:val="center"/>
          </w:tcPr>
          <w:p>
            <w:r>
              <w:rPr>
                <w:sz w:val="17"/>
              </w:rPr>
              <w:t>Technical novelty</w:t>
            </w:r>
          </w:p>
        </w:tc>
        <w:tc>
          <w:tcPr>
            <w:tcW w:type="dxa" w:w="2045"/>
            <w:vAlign w:val="center"/>
          </w:tcPr>
          <w:p>
            <w:r>
              <w:rPr>
                <w:sz w:val="17"/>
              </w:rPr>
              <w:t>Known stack</w:t>
            </w:r>
          </w:p>
        </w:tc>
        <w:tc>
          <w:tcPr>
            <w:tcW w:type="dxa" w:w="2045"/>
            <w:vAlign w:val="center"/>
          </w:tcPr>
          <w:p>
            <w:r>
              <w:rPr>
                <w:sz w:val="17"/>
              </w:rPr>
              <w:t>Some new patterns</w:t>
            </w:r>
          </w:p>
        </w:tc>
        <w:tc>
          <w:tcPr>
            <w:tcW w:type="dxa" w:w="2045"/>
            <w:vAlign w:val="center"/>
          </w:tcPr>
          <w:p>
            <w:r>
              <w:rPr>
                <w:sz w:val="17"/>
              </w:rPr>
              <w:t>New platform/architecture</w:t>
            </w:r>
          </w:p>
        </w:tc>
        <w:tc>
          <w:tcPr>
            <w:tcW w:type="dxa" w:w="2045"/>
            <w:vAlign w:val="center"/>
          </w:tcPr>
          <w:p>
            <w:r>
              <w:rPr>
                <w:sz w:val="17"/>
              </w:rPr>
              <w:t>10%</w:t>
            </w:r>
          </w:p>
        </w:tc>
      </w:tr>
      <w:tr>
        <w:tc>
          <w:tcPr>
            <w:tcW w:type="dxa" w:w="2045"/>
            <w:vAlign w:val="center"/>
          </w:tcPr>
          <w:p>
            <w:r>
              <w:rPr>
                <w:sz w:val="17"/>
              </w:rPr>
              <w:t>Dependencies</w:t>
            </w:r>
          </w:p>
        </w:tc>
        <w:tc>
          <w:tcPr>
            <w:tcW w:type="dxa" w:w="2045"/>
            <w:vAlign w:val="center"/>
          </w:tcPr>
          <w:p>
            <w:r>
              <w:rPr>
                <w:sz w:val="17"/>
              </w:rPr>
              <w:t>Mostly internal</w:t>
            </w:r>
          </w:p>
        </w:tc>
        <w:tc>
          <w:tcPr>
            <w:tcW w:type="dxa" w:w="2045"/>
            <w:vAlign w:val="center"/>
          </w:tcPr>
          <w:p>
            <w:r>
              <w:rPr>
                <w:sz w:val="17"/>
              </w:rPr>
              <w:t>Several teams</w:t>
            </w:r>
          </w:p>
        </w:tc>
        <w:tc>
          <w:tcPr>
            <w:tcW w:type="dxa" w:w="2045"/>
            <w:vAlign w:val="center"/>
          </w:tcPr>
          <w:p>
            <w:r>
              <w:rPr>
                <w:sz w:val="17"/>
              </w:rPr>
              <w:t>Critical vendors / approvals</w:t>
            </w:r>
          </w:p>
        </w:tc>
        <w:tc>
          <w:tcPr>
            <w:tcW w:type="dxa" w:w="2045"/>
            <w:vAlign w:val="center"/>
          </w:tcPr>
          <w:p>
            <w:r>
              <w:rPr>
                <w:sz w:val="17"/>
              </w:rPr>
              <w:t>10%</w:t>
            </w:r>
          </w:p>
        </w:tc>
      </w:tr>
      <w:tr>
        <w:tc>
          <w:tcPr>
            <w:tcW w:type="dxa" w:w="2045"/>
            <w:vAlign w:val="center"/>
          </w:tcPr>
          <w:p>
            <w:r>
              <w:rPr>
                <w:sz w:val="17"/>
              </w:rPr>
              <w:t>Requirements uncertainty</w:t>
            </w:r>
          </w:p>
        </w:tc>
        <w:tc>
          <w:tcPr>
            <w:tcW w:type="dxa" w:w="2045"/>
            <w:vAlign w:val="center"/>
          </w:tcPr>
          <w:p>
            <w:r>
              <w:rPr>
                <w:sz w:val="17"/>
              </w:rPr>
              <w:t>Low</w:t>
            </w:r>
          </w:p>
        </w:tc>
        <w:tc>
          <w:tcPr>
            <w:tcW w:type="dxa" w:w="2045"/>
            <w:vAlign w:val="center"/>
          </w:tcPr>
          <w:p>
            <w:r>
              <w:rPr>
                <w:sz w:val="17"/>
              </w:rPr>
              <w:t>Medium</w:t>
            </w:r>
          </w:p>
        </w:tc>
        <w:tc>
          <w:tcPr>
            <w:tcW w:type="dxa" w:w="2045"/>
            <w:vAlign w:val="center"/>
          </w:tcPr>
          <w:p>
            <w:r>
              <w:rPr>
                <w:sz w:val="17"/>
              </w:rPr>
              <w:t>High</w:t>
            </w:r>
          </w:p>
        </w:tc>
        <w:tc>
          <w:tcPr>
            <w:tcW w:type="dxa" w:w="2045"/>
            <w:vAlign w:val="center"/>
          </w:tcPr>
          <w:p>
            <w:r>
              <w:rPr>
                <w:sz w:val="17"/>
              </w:rPr>
              <w:t>5%</w:t>
            </w:r>
          </w:p>
        </w:tc>
      </w:tr>
    </w:tbl>
    <w:p>
      <w:pPr>
        <w:pStyle w:val="SmallNote"/>
      </w:pPr>
      <w:r>
        <w:t>Example interpretation: weighted score near 1.0 = low complexity; around 2.0 = moderate; approaching 3.0 = high complexity. Use the score to calibrate ranges and contingency, not to generate a fake exact duration.</w:t>
      </w:r>
    </w:p>
    <w:p>
      <w:pPr>
        <w:pStyle w:val="Heading1"/>
        <w:spacing w:before="160" w:after="80"/>
      </w:pPr>
      <w:r>
        <w:t>4. Estimating Effort and Duration</w:t>
      </w:r>
    </w:p>
    <w:p>
      <w:pPr>
        <w:pStyle w:val="Heading2"/>
        <w:spacing w:before="100" w:after="80"/>
      </w:pPr>
      <w:r>
        <w:t>4.1 Use Team-Months for Early ROMs</w:t>
      </w:r>
    </w:p>
    <w:p>
      <w:r>
        <w:t>When work is not decomposed into stories, team-months or workstream-months are usually more defensible than detailed hours.</w:t>
      </w:r>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sz w:val="20"/>
              </w:rPr>
              <w:t>Example</w:t>
              <w:br/>
            </w:r>
            <w:r>
              <w:rPr>
                <w:sz w:val="18"/>
              </w:rPr>
              <w:t>Current ROM: 35-50 person-months of engineering effort, expected to require approximately 7-10 calendar months with the assumed team shape. The range excludes major scope expansion and depends on the integration and migration assumptions listed in the estimate.</w:t>
            </w:r>
          </w:p>
        </w:tc>
      </w:tr>
    </w:tbl>
    <w:p>
      <w:pPr>
        <w:spacing w:after="0"/>
      </w:pPr>
    </w:p>
    <w:p>
      <w:pPr>
        <w:pStyle w:val="Heading2"/>
        <w:spacing w:before="100" w:after="80"/>
      </w:pPr>
      <w:r>
        <w:t>4.2 Do Not Confuse Effort with Calendar Time</w:t>
      </w:r>
    </w:p>
    <w:p>
      <w:pPr>
        <w:pStyle w:val="ListBullet"/>
        <w:spacing w:after="30"/>
      </w:pPr>
      <w:r>
        <w:t>Some activities can run in parallel; others are sequential.</w:t>
      </w:r>
    </w:p>
    <w:p>
      <w:pPr>
        <w:pStyle w:val="ListBullet"/>
        <w:spacing w:after="30"/>
      </w:pPr>
      <w:r>
        <w:t>Adding people does not linearly reduce duration.</w:t>
      </w:r>
    </w:p>
    <w:p>
      <w:pPr>
        <w:pStyle w:val="ListBullet"/>
        <w:spacing w:after="30"/>
      </w:pPr>
      <w:r>
        <w:t>Specialist bottlenecks can dominate the critical path.</w:t>
      </w:r>
    </w:p>
    <w:p>
      <w:pPr>
        <w:pStyle w:val="ListBullet"/>
        <w:spacing w:after="30"/>
      </w:pPr>
      <w:r>
        <w:t>Approval, vendor and environment lead times add elapsed time but not necessarily engineering effort.</w:t>
      </w:r>
    </w:p>
    <w:p>
      <w:pPr>
        <w:pStyle w:val="ListBullet"/>
        <w:spacing w:after="30"/>
      </w:pPr>
      <w:r>
        <w:t>Team ramp-up, onboarding and coordination overhead should be reflected in duration.</w:t>
      </w:r>
    </w:p>
    <w:p>
      <w:pPr>
        <w:pStyle w:val="Heading2"/>
        <w:spacing w:before="100" w:after="80"/>
      </w:pPr>
      <w:r>
        <w:t>4.3 Use Three-Point Estimates</w:t>
      </w:r>
    </w:p>
    <w:p>
      <w:r>
        <w:t>For uncertain workstreams, record optimistic (O), most likely (M) and pessimistic (P) estimates. A simple expected value is (O + 4M + P) / 6.</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r>
              <w:rPr>
                <w:b/>
                <w:color w:val="FFFFFF"/>
                <w:sz w:val="17"/>
              </w:rPr>
              <w:t>Workstream</w:t>
            </w:r>
          </w:p>
        </w:tc>
        <w:tc>
          <w:tcPr>
            <w:tcW w:type="dxa" w:w="2045"/>
            <w:vAlign w:val="center"/>
            <w:shd w:fill="17365D"/>
          </w:tcPr>
          <w:p>
            <w:r>
              <w:rPr>
                <w:b/>
                <w:color w:val="FFFFFF"/>
                <w:sz w:val="17"/>
              </w:rPr>
              <w:t>Optimistic</w:t>
            </w:r>
          </w:p>
        </w:tc>
        <w:tc>
          <w:tcPr>
            <w:tcW w:type="dxa" w:w="2045"/>
            <w:vAlign w:val="center"/>
            <w:shd w:fill="17365D"/>
          </w:tcPr>
          <w:p>
            <w:r>
              <w:rPr>
                <w:b/>
                <w:color w:val="FFFFFF"/>
                <w:sz w:val="17"/>
              </w:rPr>
              <w:t>Most Likely</w:t>
            </w:r>
          </w:p>
        </w:tc>
        <w:tc>
          <w:tcPr>
            <w:tcW w:type="dxa" w:w="2045"/>
            <w:vAlign w:val="center"/>
            <w:shd w:fill="17365D"/>
          </w:tcPr>
          <w:p>
            <w:r>
              <w:rPr>
                <w:b/>
                <w:color w:val="FFFFFF"/>
                <w:sz w:val="17"/>
              </w:rPr>
              <w:t>Pessimistic</w:t>
            </w:r>
          </w:p>
        </w:tc>
        <w:tc>
          <w:tcPr>
            <w:tcW w:type="dxa" w:w="2045"/>
            <w:vAlign w:val="center"/>
            <w:shd w:fill="17365D"/>
          </w:tcPr>
          <w:p>
            <w:r>
              <w:rPr>
                <w:b/>
                <w:color w:val="FFFFFF"/>
                <w:sz w:val="17"/>
              </w:rPr>
              <w:t>Notes</w:t>
            </w:r>
          </w:p>
        </w:tc>
      </w:tr>
      <w:tr>
        <w:tc>
          <w:tcPr>
            <w:tcW w:type="dxa" w:w="2045"/>
            <w:vAlign w:val="center"/>
          </w:tcPr>
          <w:p>
            <w:r>
              <w:rPr>
                <w:sz w:val="17"/>
              </w:rPr>
              <w:t>Core application</w:t>
            </w:r>
          </w:p>
        </w:tc>
        <w:tc>
          <w:tcPr>
            <w:tcW w:type="dxa" w:w="2045"/>
            <w:vAlign w:val="center"/>
          </w:tcPr>
          <w:p>
            <w:r>
              <w:rPr>
                <w:sz w:val="17"/>
              </w:rPr>
              <w:t>4 mo</w:t>
            </w:r>
          </w:p>
        </w:tc>
        <w:tc>
          <w:tcPr>
            <w:tcW w:type="dxa" w:w="2045"/>
            <w:vAlign w:val="center"/>
          </w:tcPr>
          <w:p>
            <w:r>
              <w:rPr>
                <w:sz w:val="17"/>
              </w:rPr>
              <w:t>6 mo</w:t>
            </w:r>
          </w:p>
        </w:tc>
        <w:tc>
          <w:tcPr>
            <w:tcW w:type="dxa" w:w="2045"/>
            <w:vAlign w:val="center"/>
          </w:tcPr>
          <w:p>
            <w:r>
              <w:rPr>
                <w:sz w:val="17"/>
              </w:rPr>
              <w:t>8 mo</w:t>
            </w:r>
          </w:p>
        </w:tc>
        <w:tc>
          <w:tcPr>
            <w:tcW w:type="dxa" w:w="2045"/>
            <w:vAlign w:val="center"/>
          </w:tcPr>
          <w:p>
            <w:r>
              <w:rPr>
                <w:sz w:val="17"/>
              </w:rPr>
              <w:t>Depends on workflow complexity</w:t>
            </w:r>
          </w:p>
        </w:tc>
      </w:tr>
      <w:tr>
        <w:tc>
          <w:tcPr>
            <w:tcW w:type="dxa" w:w="2045"/>
            <w:vAlign w:val="center"/>
          </w:tcPr>
          <w:p>
            <w:r>
              <w:rPr>
                <w:sz w:val="17"/>
              </w:rPr>
              <w:t>Integrations</w:t>
            </w:r>
          </w:p>
        </w:tc>
        <w:tc>
          <w:tcPr>
            <w:tcW w:type="dxa" w:w="2045"/>
            <w:vAlign w:val="center"/>
          </w:tcPr>
          <w:p>
            <w:r>
              <w:rPr>
                <w:sz w:val="17"/>
              </w:rPr>
              <w:t>2 mo</w:t>
            </w:r>
          </w:p>
        </w:tc>
        <w:tc>
          <w:tcPr>
            <w:tcW w:type="dxa" w:w="2045"/>
            <w:vAlign w:val="center"/>
          </w:tcPr>
          <w:p>
            <w:r>
              <w:rPr>
                <w:sz w:val="17"/>
              </w:rPr>
              <w:t>3 mo</w:t>
            </w:r>
          </w:p>
        </w:tc>
        <w:tc>
          <w:tcPr>
            <w:tcW w:type="dxa" w:w="2045"/>
            <w:vAlign w:val="center"/>
          </w:tcPr>
          <w:p>
            <w:r>
              <w:rPr>
                <w:sz w:val="17"/>
              </w:rPr>
              <w:t>5 mo</w:t>
            </w:r>
          </w:p>
        </w:tc>
        <w:tc>
          <w:tcPr>
            <w:tcW w:type="dxa" w:w="2045"/>
            <w:vAlign w:val="center"/>
          </w:tcPr>
          <w:p>
            <w:r>
              <w:rPr>
                <w:sz w:val="17"/>
              </w:rPr>
              <w:t>Vendor API maturity unknown</w:t>
            </w:r>
          </w:p>
        </w:tc>
      </w:tr>
      <w:tr>
        <w:tc>
          <w:tcPr>
            <w:tcW w:type="dxa" w:w="2045"/>
            <w:vAlign w:val="center"/>
          </w:tcPr>
          <w:p>
            <w:r>
              <w:rPr>
                <w:sz w:val="17"/>
              </w:rPr>
              <w:t>Migration</w:t>
            </w:r>
          </w:p>
        </w:tc>
        <w:tc>
          <w:tcPr>
            <w:tcW w:type="dxa" w:w="2045"/>
            <w:vAlign w:val="center"/>
          </w:tcPr>
          <w:p>
            <w:r>
              <w:rPr>
                <w:sz w:val="17"/>
              </w:rPr>
              <w:t>1 mo</w:t>
            </w:r>
          </w:p>
        </w:tc>
        <w:tc>
          <w:tcPr>
            <w:tcW w:type="dxa" w:w="2045"/>
            <w:vAlign w:val="center"/>
          </w:tcPr>
          <w:p>
            <w:r>
              <w:rPr>
                <w:sz w:val="17"/>
              </w:rPr>
              <w:t>2 mo</w:t>
            </w:r>
          </w:p>
        </w:tc>
        <w:tc>
          <w:tcPr>
            <w:tcW w:type="dxa" w:w="2045"/>
            <w:vAlign w:val="center"/>
          </w:tcPr>
          <w:p>
            <w:r>
              <w:rPr>
                <w:sz w:val="17"/>
              </w:rPr>
              <w:t>4 mo</w:t>
            </w:r>
          </w:p>
        </w:tc>
        <w:tc>
          <w:tcPr>
            <w:tcW w:type="dxa" w:w="2045"/>
            <w:vAlign w:val="center"/>
          </w:tcPr>
          <w:p>
            <w:r>
              <w:rPr>
                <w:sz w:val="17"/>
              </w:rPr>
              <w:t>Data quality not profiled</w:t>
            </w:r>
          </w:p>
        </w:tc>
      </w:tr>
      <w:tr>
        <w:tc>
          <w:tcPr>
            <w:tcW w:type="dxa" w:w="2045"/>
            <w:vAlign w:val="center"/>
          </w:tcPr>
          <w:p>
            <w:r>
              <w:rPr>
                <w:sz w:val="17"/>
              </w:rPr>
              <w:t>Hardening &amp; release</w:t>
            </w:r>
          </w:p>
        </w:tc>
        <w:tc>
          <w:tcPr>
            <w:tcW w:type="dxa" w:w="2045"/>
            <w:vAlign w:val="center"/>
          </w:tcPr>
          <w:p>
            <w:r>
              <w:rPr>
                <w:sz w:val="17"/>
              </w:rPr>
              <w:t>1 mo</w:t>
            </w:r>
          </w:p>
        </w:tc>
        <w:tc>
          <w:tcPr>
            <w:tcW w:type="dxa" w:w="2045"/>
            <w:vAlign w:val="center"/>
          </w:tcPr>
          <w:p>
            <w:r>
              <w:rPr>
                <w:sz w:val="17"/>
              </w:rPr>
              <w:t>1.5 mo</w:t>
            </w:r>
          </w:p>
        </w:tc>
        <w:tc>
          <w:tcPr>
            <w:tcW w:type="dxa" w:w="2045"/>
            <w:vAlign w:val="center"/>
          </w:tcPr>
          <w:p>
            <w:r>
              <w:rPr>
                <w:sz w:val="17"/>
              </w:rPr>
              <w:t>2 mo</w:t>
            </w:r>
          </w:p>
        </w:tc>
        <w:tc>
          <w:tcPr>
            <w:tcW w:type="dxa" w:w="2045"/>
            <w:vAlign w:val="center"/>
          </w:tcPr>
          <w:p>
            <w:r>
              <w:rPr>
                <w:sz w:val="17"/>
              </w:rPr>
              <w:t>Performance scope TBD</w:t>
            </w:r>
          </w:p>
        </w:tc>
      </w:tr>
    </w:tbl>
    <w:p>
      <w:pPr>
        <w:pStyle w:val="Heading1"/>
        <w:spacing w:before="160" w:after="80"/>
      </w:pPr>
      <w:r>
        <w:t>5. Contingency and Uncertainty Reserve</w:t>
      </w:r>
    </w:p>
    <w:p>
      <w:r>
        <w:t>Contingency should reflect known uncertainty. It should be visible, governed and reduced as uncertainty is retired.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Pr>
                <w:b/>
                <w:color w:val="FFFFFF"/>
                <w:sz w:val="17"/>
              </w:rPr>
              <w:t>Project Maturity</w:t>
            </w:r>
          </w:p>
        </w:tc>
        <w:tc>
          <w:tcPr>
            <w:tcW w:type="dxa" w:w="3408"/>
            <w:vAlign w:val="center"/>
            <w:shd w:fill="17365D"/>
          </w:tcPr>
          <w:p>
            <w:r>
              <w:rPr>
                <w:b/>
                <w:color w:val="FFFFFF"/>
                <w:sz w:val="17"/>
              </w:rPr>
              <w:t>Indicative Reserve</w:t>
            </w:r>
          </w:p>
        </w:tc>
        <w:tc>
          <w:tcPr>
            <w:tcW w:type="dxa" w:w="3408"/>
            <w:vAlign w:val="center"/>
            <w:shd w:fill="17365D"/>
          </w:tcPr>
          <w:p>
            <w:r>
              <w:rPr>
                <w:b/>
                <w:color w:val="FFFFFF"/>
                <w:sz w:val="17"/>
              </w:rPr>
              <w:t>When It May Be Appropriate</w:t>
            </w:r>
          </w:p>
        </w:tc>
      </w:tr>
      <w:tr>
        <w:tc>
          <w:tcPr>
            <w:tcW w:type="dxa" w:w="3408"/>
            <w:vAlign w:val="center"/>
          </w:tcPr>
          <w:p>
            <w:r>
              <w:rPr>
                <w:sz w:val="17"/>
              </w:rPr>
              <w:t>Concept / discovery</w:t>
            </w:r>
          </w:p>
        </w:tc>
        <w:tc>
          <w:tcPr>
            <w:tcW w:type="dxa" w:w="3408"/>
            <w:vAlign w:val="center"/>
          </w:tcPr>
          <w:p>
            <w:r>
              <w:rPr>
                <w:sz w:val="17"/>
              </w:rPr>
              <w:t>25-50%</w:t>
            </w:r>
          </w:p>
        </w:tc>
        <w:tc>
          <w:tcPr>
            <w:tcW w:type="dxa" w:w="3408"/>
            <w:vAlign w:val="center"/>
          </w:tcPr>
          <w:p>
            <w:r>
              <w:rPr>
                <w:sz w:val="17"/>
              </w:rPr>
              <w:t>Requirements and architecture largely unknown</w:t>
            </w:r>
          </w:p>
        </w:tc>
      </w:tr>
      <w:tr>
        <w:tc>
          <w:tcPr>
            <w:tcW w:type="dxa" w:w="3408"/>
            <w:vAlign w:val="center"/>
          </w:tcPr>
          <w:p>
            <w:r>
              <w:rPr>
                <w:sz w:val="17"/>
              </w:rPr>
              <w:t>Requirements baselined</w:t>
            </w:r>
          </w:p>
        </w:tc>
        <w:tc>
          <w:tcPr>
            <w:tcW w:type="dxa" w:w="3408"/>
            <w:vAlign w:val="center"/>
          </w:tcPr>
          <w:p>
            <w:r>
              <w:rPr>
                <w:sz w:val="17"/>
              </w:rPr>
              <w:t>15-30%</w:t>
            </w:r>
          </w:p>
        </w:tc>
        <w:tc>
          <w:tcPr>
            <w:tcW w:type="dxa" w:w="3408"/>
            <w:vAlign w:val="center"/>
          </w:tcPr>
          <w:p>
            <w:r>
              <w:rPr>
                <w:sz w:val="17"/>
              </w:rPr>
              <w:t>Scope clearer but design / integration detail incomplete</w:t>
            </w:r>
          </w:p>
        </w:tc>
      </w:tr>
      <w:tr>
        <w:tc>
          <w:tcPr>
            <w:tcW w:type="dxa" w:w="3408"/>
            <w:vAlign w:val="center"/>
          </w:tcPr>
          <w:p>
            <w:r>
              <w:rPr>
                <w:sz w:val="17"/>
              </w:rPr>
              <w:t>Architecture + epics defined</w:t>
            </w:r>
          </w:p>
        </w:tc>
        <w:tc>
          <w:tcPr>
            <w:tcW w:type="dxa" w:w="3408"/>
            <w:vAlign w:val="center"/>
          </w:tcPr>
          <w:p>
            <w:r>
              <w:rPr>
                <w:sz w:val="17"/>
              </w:rPr>
              <w:t>10-20%</w:t>
            </w:r>
          </w:p>
        </w:tc>
        <w:tc>
          <w:tcPr>
            <w:tcW w:type="dxa" w:w="3408"/>
            <w:vAlign w:val="center"/>
          </w:tcPr>
          <w:p>
            <w:r>
              <w:rPr>
                <w:sz w:val="17"/>
              </w:rPr>
              <w:t>Major technical approach and workstreams understood</w:t>
            </w:r>
          </w:p>
        </w:tc>
      </w:tr>
      <w:tr>
        <w:tc>
          <w:tcPr>
            <w:tcW w:type="dxa" w:w="3408"/>
            <w:vAlign w:val="center"/>
          </w:tcPr>
          <w:p>
            <w:r>
              <w:rPr>
                <w:sz w:val="17"/>
              </w:rPr>
              <w:t>Delivery underway</w:t>
            </w:r>
          </w:p>
        </w:tc>
        <w:tc>
          <w:tcPr>
            <w:tcW w:type="dxa" w:w="3408"/>
            <w:vAlign w:val="center"/>
          </w:tcPr>
          <w:p>
            <w:r>
              <w:rPr>
                <w:sz w:val="17"/>
              </w:rPr>
              <w:t>5-15%</w:t>
            </w:r>
          </w:p>
        </w:tc>
        <w:tc>
          <w:tcPr>
            <w:tcW w:type="dxa" w:w="3408"/>
            <w:vAlign w:val="center"/>
          </w:tcPr>
          <w:p>
            <w:r>
              <w:rPr>
                <w:sz w:val="17"/>
              </w:rPr>
              <w:t>Actual throughput and remaining scope available</w:t>
            </w:r>
          </w:p>
        </w:tc>
      </w:tr>
    </w:tbl>
    <w:p>
      <w:pPr>
        <w:pStyle w:val="SmallNote"/>
      </w:pPr>
      <w:r>
        <w:t>These ranges are planning heuristics, not universal standards. Calibrate them to your organisation and project risk profile.</w:t>
      </w:r>
    </w:p>
    <w:p>
      <w:pPr>
        <w:pStyle w:val="Heading1"/>
        <w:spacing w:before="160" w:after="80"/>
      </w:pPr>
      <w:r>
        <w:t>6. Estimate Confidence</w:t>
      </w:r>
    </w:p>
    <w:p>
      <w:r>
        <w:t>Confidence describes how stable the estimate is likely to be if current assumptions hold. It is better communicated as a band or narrative than as a precise mathematical probability.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Pr>
                <w:b/>
                <w:color w:val="FFFFFF"/>
                <w:sz w:val="17"/>
              </w:rPr>
              <w:t>Confidence</w:t>
            </w:r>
          </w:p>
        </w:tc>
        <w:tc>
          <w:tcPr>
            <w:tcW w:type="dxa" w:w="2556"/>
            <w:vAlign w:val="center"/>
            <w:shd w:fill="17365D"/>
          </w:tcPr>
          <w:p>
            <w:r>
              <w:rPr>
                <w:b/>
                <w:color w:val="FFFFFF"/>
                <w:sz w:val="17"/>
              </w:rPr>
              <w:t>Typical Situation</w:t>
            </w:r>
          </w:p>
        </w:tc>
        <w:tc>
          <w:tcPr>
            <w:tcW w:type="dxa" w:w="2556"/>
            <w:vAlign w:val="center"/>
            <w:shd w:fill="17365D"/>
          </w:tcPr>
          <w:p>
            <w:r>
              <w:rPr>
                <w:b/>
                <w:color w:val="FFFFFF"/>
                <w:sz w:val="17"/>
              </w:rPr>
              <w:t>Estimate Form</w:t>
            </w:r>
          </w:p>
        </w:tc>
        <w:tc>
          <w:tcPr>
            <w:tcW w:type="dxa" w:w="2556"/>
            <w:vAlign w:val="center"/>
            <w:shd w:fill="17365D"/>
          </w:tcPr>
          <w:p>
            <w:r>
              <w:rPr>
                <w:b/>
                <w:color w:val="FFFFFF"/>
                <w:sz w:val="17"/>
              </w:rPr>
              <w:t>Recommended Language</w:t>
            </w:r>
          </w:p>
        </w:tc>
      </w:tr>
      <w:tr>
        <w:tc>
          <w:tcPr>
            <w:tcW w:type="dxa" w:w="2556"/>
            <w:vAlign w:val="center"/>
          </w:tcPr>
          <w:p>
            <w:r>
              <w:rPr>
                <w:sz w:val="17"/>
              </w:rPr>
              <w:t>Low</w:t>
            </w:r>
          </w:p>
        </w:tc>
        <w:tc>
          <w:tcPr>
            <w:tcW w:type="dxa" w:w="2556"/>
            <w:vAlign w:val="center"/>
          </w:tcPr>
          <w:p>
            <w:r>
              <w:rPr>
                <w:sz w:val="17"/>
              </w:rPr>
              <w:t>Scope/design largely unknown</w:t>
            </w:r>
          </w:p>
        </w:tc>
        <w:tc>
          <w:tcPr>
            <w:tcW w:type="dxa" w:w="2556"/>
            <w:vAlign w:val="center"/>
          </w:tcPr>
          <w:p>
            <w:r>
              <w:rPr>
                <w:sz w:val="17"/>
              </w:rPr>
              <w:t>Wide ROM range</w:t>
            </w:r>
          </w:p>
        </w:tc>
        <w:tc>
          <w:tcPr>
            <w:tcW w:type="dxa" w:w="2556"/>
            <w:vAlign w:val="center"/>
          </w:tcPr>
          <w:p>
            <w:r>
              <w:rPr>
                <w:sz w:val="17"/>
              </w:rPr>
              <w:t>Directional estimate; substantial change expected</w:t>
            </w:r>
          </w:p>
        </w:tc>
      </w:tr>
      <w:tr>
        <w:tc>
          <w:tcPr>
            <w:tcW w:type="dxa" w:w="2556"/>
            <w:vAlign w:val="center"/>
          </w:tcPr>
          <w:p>
            <w:r>
              <w:rPr>
                <w:sz w:val="17"/>
              </w:rPr>
              <w:t>Low-Medium</w:t>
            </w:r>
          </w:p>
        </w:tc>
        <w:tc>
          <w:tcPr>
            <w:tcW w:type="dxa" w:w="2556"/>
            <w:vAlign w:val="center"/>
          </w:tcPr>
          <w:p>
            <w:r>
              <w:rPr>
                <w:sz w:val="17"/>
              </w:rPr>
              <w:t>Requirements forming</w:t>
            </w:r>
          </w:p>
        </w:tc>
        <w:tc>
          <w:tcPr>
            <w:tcW w:type="dxa" w:w="2556"/>
            <w:vAlign w:val="center"/>
          </w:tcPr>
          <w:p>
            <w:r>
              <w:rPr>
                <w:sz w:val="17"/>
              </w:rPr>
              <w:t>Refined ROM</w:t>
            </w:r>
          </w:p>
        </w:tc>
        <w:tc>
          <w:tcPr>
            <w:tcW w:type="dxa" w:w="2556"/>
            <w:vAlign w:val="center"/>
          </w:tcPr>
          <w:p>
            <w:r>
              <w:rPr>
                <w:sz w:val="17"/>
              </w:rPr>
              <w:t>Major drivers known; material uncertainty remains</w:t>
            </w:r>
          </w:p>
        </w:tc>
      </w:tr>
      <w:tr>
        <w:tc>
          <w:tcPr>
            <w:tcW w:type="dxa" w:w="2556"/>
            <w:vAlign w:val="center"/>
          </w:tcPr>
          <w:p>
            <w:r>
              <w:rPr>
                <w:sz w:val="17"/>
              </w:rPr>
              <w:t>Medium</w:t>
            </w:r>
          </w:p>
        </w:tc>
        <w:tc>
          <w:tcPr>
            <w:tcW w:type="dxa" w:w="2556"/>
            <w:vAlign w:val="center"/>
          </w:tcPr>
          <w:p>
            <w:r>
              <w:rPr>
                <w:sz w:val="17"/>
              </w:rPr>
              <w:t>Architecture and epics available</w:t>
            </w:r>
          </w:p>
        </w:tc>
        <w:tc>
          <w:tcPr>
            <w:tcW w:type="dxa" w:w="2556"/>
            <w:vAlign w:val="center"/>
          </w:tcPr>
          <w:p>
            <w:r>
              <w:rPr>
                <w:sz w:val="17"/>
              </w:rPr>
              <w:t>Workstream / epic estimate</w:t>
            </w:r>
          </w:p>
        </w:tc>
        <w:tc>
          <w:tcPr>
            <w:tcW w:type="dxa" w:w="2556"/>
            <w:vAlign w:val="center"/>
          </w:tcPr>
          <w:p>
            <w:r>
              <w:rPr>
                <w:sz w:val="17"/>
              </w:rPr>
              <w:t>Reasonable planning baseline</w:t>
            </w:r>
          </w:p>
        </w:tc>
      </w:tr>
      <w:tr>
        <w:tc>
          <w:tcPr>
            <w:tcW w:type="dxa" w:w="2556"/>
            <w:vAlign w:val="center"/>
          </w:tcPr>
          <w:p>
            <w:r>
              <w:rPr>
                <w:sz w:val="17"/>
              </w:rPr>
              <w:t>Medium-High</w:t>
            </w:r>
          </w:p>
        </w:tc>
        <w:tc>
          <w:tcPr>
            <w:tcW w:type="dxa" w:w="2556"/>
            <w:vAlign w:val="center"/>
          </w:tcPr>
          <w:p>
            <w:r>
              <w:rPr>
                <w:sz w:val="17"/>
              </w:rPr>
              <w:t>Stories refined and team stable</w:t>
            </w:r>
          </w:p>
        </w:tc>
        <w:tc>
          <w:tcPr>
            <w:tcW w:type="dxa" w:w="2556"/>
            <w:vAlign w:val="center"/>
          </w:tcPr>
          <w:p>
            <w:r>
              <w:rPr>
                <w:sz w:val="17"/>
              </w:rPr>
              <w:t>Delivery forecast</w:t>
            </w:r>
          </w:p>
        </w:tc>
        <w:tc>
          <w:tcPr>
            <w:tcW w:type="dxa" w:w="2556"/>
            <w:vAlign w:val="center"/>
          </w:tcPr>
          <w:p>
            <w:r>
              <w:rPr>
                <w:sz w:val="17"/>
              </w:rPr>
              <w:t>Supported by delivery evidence</w:t>
            </w:r>
          </w:p>
        </w:tc>
      </w:tr>
      <w:tr>
        <w:tc>
          <w:tcPr>
            <w:tcW w:type="dxa" w:w="2556"/>
            <w:vAlign w:val="center"/>
          </w:tcPr>
          <w:p>
            <w:r>
              <w:rPr>
                <w:sz w:val="17"/>
              </w:rPr>
              <w:t>High</w:t>
            </w:r>
          </w:p>
        </w:tc>
        <w:tc>
          <w:tcPr>
            <w:tcW w:type="dxa" w:w="2556"/>
            <w:vAlign w:val="center"/>
          </w:tcPr>
          <w:p>
            <w:r>
              <w:rPr>
                <w:sz w:val="17"/>
              </w:rPr>
              <w:t>Late delivery / release readiness</w:t>
            </w:r>
          </w:p>
        </w:tc>
        <w:tc>
          <w:tcPr>
            <w:tcW w:type="dxa" w:w="2556"/>
            <w:vAlign w:val="center"/>
          </w:tcPr>
          <w:p>
            <w:r>
              <w:rPr>
                <w:sz w:val="17"/>
              </w:rPr>
              <w:t>Forecast to completion</w:t>
            </w:r>
          </w:p>
        </w:tc>
        <w:tc>
          <w:tcPr>
            <w:tcW w:type="dxa" w:w="2556"/>
            <w:vAlign w:val="center"/>
          </w:tcPr>
          <w:p>
            <w:r>
              <w:rPr>
                <w:sz w:val="17"/>
              </w:rPr>
              <w:t>Remaining uncertainty is limited</w:t>
            </w:r>
          </w:p>
        </w:tc>
      </w:tr>
    </w:tbl>
    <w:p>
      <w:pPr>
        <w:pStyle w:val="Heading1"/>
        <w:spacing w:before="160" w:after="80"/>
      </w:pPr>
      <w:r>
        <w:t>7. Re-Estimation Gates</w:t>
      </w:r>
    </w:p>
    <w:p>
      <w:pPr>
        <w:pStyle w:val="ListBullet"/>
        <w:spacing w:after="30"/>
      </w:pPr>
      <w:r>
        <w:t>Requirements baseline approved</w:t>
      </w:r>
    </w:p>
    <w:p>
      <w:pPr>
        <w:pStyle w:val="ListBullet"/>
        <w:spacing w:after="30"/>
      </w:pPr>
      <w:r>
        <w:t>Target architecture agreed</w:t>
      </w:r>
    </w:p>
    <w:p>
      <w:pPr>
        <w:pStyle w:val="ListBullet"/>
        <w:spacing w:after="30"/>
      </w:pPr>
      <w:r>
        <w:t>Major integrations identified and validated</w:t>
      </w:r>
    </w:p>
    <w:p>
      <w:pPr>
        <w:pStyle w:val="ListBullet"/>
        <w:spacing w:after="30"/>
      </w:pPr>
      <w:r>
        <w:t>Data profiling completed</w:t>
      </w:r>
    </w:p>
    <w:p>
      <w:pPr>
        <w:pStyle w:val="ListBullet"/>
        <w:spacing w:after="30"/>
      </w:pPr>
      <w:r>
        <w:t>Security / compliance requirements confirmed</w:t>
      </w:r>
    </w:p>
    <w:p>
      <w:pPr>
        <w:pStyle w:val="ListBullet"/>
        <w:spacing w:after="30"/>
      </w:pPr>
      <w:r>
        <w:t>Epics created and sized</w:t>
      </w:r>
    </w:p>
    <w:p>
      <w:pPr>
        <w:pStyle w:val="ListBullet"/>
        <w:spacing w:after="30"/>
      </w:pPr>
      <w:r>
        <w:t>Delivery teams staffed</w:t>
      </w:r>
    </w:p>
    <w:p>
      <w:pPr>
        <w:pStyle w:val="ListBullet"/>
        <w:spacing w:after="30"/>
      </w:pPr>
      <w:r>
        <w:t>First 3-4 sprints completed</w:t>
      </w:r>
    </w:p>
    <w:p>
      <w:pPr>
        <w:pStyle w:val="ListBullet"/>
        <w:spacing w:after="30"/>
      </w:pPr>
      <w:r>
        <w:t>Major scope change approved</w:t>
      </w:r>
    </w:p>
    <w:p>
      <w:pPr>
        <w:pStyle w:val="ListBullet"/>
        <w:spacing w:after="30"/>
      </w:pPr>
      <w:r>
        <w:t>Material dependency or vendor change</w:t>
      </w:r>
    </w:p>
    <w:p>
      <w:pPr>
        <w:pStyle w:val="ListBullet"/>
        <w:spacing w:after="30"/>
      </w:pPr>
      <w:r>
        <w:t>Pre-production readiness review</w:t>
      </w:r>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sz w:val="20"/>
              </w:rPr>
              <w:t>Rule of thumb</w:t>
              <w:br/>
            </w:r>
            <w:r>
              <w:rPr>
                <w:sz w:val="18"/>
              </w:rPr>
              <w:t>Re-estimate when the information set changes materially, not merely because a calendar milestone has passed.</w:t>
            </w:r>
          </w:p>
        </w:tc>
      </w:tr>
    </w:tbl>
    <w:p>
      <w:pPr>
        <w:spacing w:after="0"/>
      </w:pPr>
    </w:p>
    <w:p>
      <w:pPr>
        <w:pStyle w:val="Heading1"/>
        <w:spacing w:before="160" w:after="80"/>
      </w:pPr>
      <w:r>
        <w:t>8. Metrics Once Delivery Starts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Pr>
                <w:b/>
                <w:color w:val="FFFFFF"/>
                <w:sz w:val="17"/>
              </w:rPr>
              <w:t>Metric</w:t>
            </w:r>
          </w:p>
        </w:tc>
        <w:tc>
          <w:tcPr>
            <w:tcW w:type="dxa" w:w="2556"/>
            <w:vAlign w:val="center"/>
            <w:shd w:fill="17365D"/>
          </w:tcPr>
          <w:p>
            <w:r>
              <w:rPr>
                <w:b/>
                <w:color w:val="FFFFFF"/>
                <w:sz w:val="17"/>
              </w:rPr>
              <w:t>What It Tells You</w:t>
            </w:r>
          </w:p>
        </w:tc>
        <w:tc>
          <w:tcPr>
            <w:tcW w:type="dxa" w:w="2556"/>
            <w:vAlign w:val="center"/>
            <w:shd w:fill="17365D"/>
          </w:tcPr>
          <w:p>
            <w:r>
              <w:rPr>
                <w:b/>
                <w:color w:val="FFFFFF"/>
                <w:sz w:val="17"/>
              </w:rPr>
              <w:t>Useful For</w:t>
            </w:r>
          </w:p>
        </w:tc>
        <w:tc>
          <w:tcPr>
            <w:tcW w:type="dxa" w:w="2556"/>
            <w:vAlign w:val="center"/>
            <w:shd w:fill="17365D"/>
          </w:tcPr>
          <w:p>
            <w:r>
              <w:rPr>
                <w:b/>
                <w:color w:val="FFFFFF"/>
                <w:sz w:val="17"/>
              </w:rPr>
              <w:t>Watch Out For</w:t>
            </w:r>
          </w:p>
        </w:tc>
      </w:tr>
      <w:tr>
        <w:tc>
          <w:tcPr>
            <w:tcW w:type="dxa" w:w="2556"/>
            <w:vAlign w:val="center"/>
          </w:tcPr>
          <w:p>
            <w:r>
              <w:rPr>
                <w:sz w:val="17"/>
              </w:rPr>
              <w:t>Throughput</w:t>
            </w:r>
          </w:p>
        </w:tc>
        <w:tc>
          <w:tcPr>
            <w:tcW w:type="dxa" w:w="2556"/>
            <w:vAlign w:val="center"/>
          </w:tcPr>
          <w:p>
            <w:r>
              <w:rPr>
                <w:sz w:val="17"/>
              </w:rPr>
              <w:t>Items completed per period</w:t>
            </w:r>
          </w:p>
        </w:tc>
        <w:tc>
          <w:tcPr>
            <w:tcW w:type="dxa" w:w="2556"/>
            <w:vAlign w:val="center"/>
          </w:tcPr>
          <w:p>
            <w:r>
              <w:rPr>
                <w:sz w:val="17"/>
              </w:rPr>
              <w:t>Forecasting remaining work</w:t>
            </w:r>
          </w:p>
        </w:tc>
        <w:tc>
          <w:tcPr>
            <w:tcW w:type="dxa" w:w="2556"/>
            <w:vAlign w:val="center"/>
          </w:tcPr>
          <w:p>
            <w:r>
              <w:rPr>
                <w:sz w:val="17"/>
              </w:rPr>
              <w:t>Requires reasonably consistent item size</w:t>
            </w:r>
          </w:p>
        </w:tc>
      </w:tr>
      <w:tr>
        <w:tc>
          <w:tcPr>
            <w:tcW w:type="dxa" w:w="2556"/>
            <w:vAlign w:val="center"/>
          </w:tcPr>
          <w:p>
            <w:r>
              <w:rPr>
                <w:sz w:val="17"/>
              </w:rPr>
              <w:t>Cycle time</w:t>
            </w:r>
          </w:p>
        </w:tc>
        <w:tc>
          <w:tcPr>
            <w:tcW w:type="dxa" w:w="2556"/>
            <w:vAlign w:val="center"/>
          </w:tcPr>
          <w:p>
            <w:r>
              <w:rPr>
                <w:sz w:val="17"/>
              </w:rPr>
              <w:t>Time from start to done</w:t>
            </w:r>
          </w:p>
        </w:tc>
        <w:tc>
          <w:tcPr>
            <w:tcW w:type="dxa" w:w="2556"/>
            <w:vAlign w:val="center"/>
          </w:tcPr>
          <w:p>
            <w:r>
              <w:rPr>
                <w:sz w:val="17"/>
              </w:rPr>
              <w:t>Flow and predictability</w:t>
            </w:r>
          </w:p>
        </w:tc>
        <w:tc>
          <w:tcPr>
            <w:tcW w:type="dxa" w:w="2556"/>
            <w:vAlign w:val="center"/>
          </w:tcPr>
          <w:p>
            <w:r>
              <w:rPr>
                <w:sz w:val="17"/>
              </w:rPr>
              <w:t>Segment by work type</w:t>
            </w:r>
          </w:p>
        </w:tc>
      </w:tr>
      <w:tr>
        <w:tc>
          <w:tcPr>
            <w:tcW w:type="dxa" w:w="2556"/>
            <w:vAlign w:val="center"/>
          </w:tcPr>
          <w:p>
            <w:r>
              <w:rPr>
                <w:sz w:val="17"/>
              </w:rPr>
              <w:t>Velocity</w:t>
            </w:r>
          </w:p>
        </w:tc>
        <w:tc>
          <w:tcPr>
            <w:tcW w:type="dxa" w:w="2556"/>
            <w:vAlign w:val="center"/>
          </w:tcPr>
          <w:p>
            <w:r>
              <w:rPr>
                <w:sz w:val="17"/>
              </w:rPr>
              <w:t>Story points completed</w:t>
            </w:r>
          </w:p>
        </w:tc>
        <w:tc>
          <w:tcPr>
            <w:tcW w:type="dxa" w:w="2556"/>
            <w:vAlign w:val="center"/>
          </w:tcPr>
          <w:p>
            <w:r>
              <w:rPr>
                <w:sz w:val="17"/>
              </w:rPr>
              <w:t>Team-specific sprint planning</w:t>
            </w:r>
          </w:p>
        </w:tc>
        <w:tc>
          <w:tcPr>
            <w:tcW w:type="dxa" w:w="2556"/>
            <w:vAlign w:val="center"/>
          </w:tcPr>
          <w:p>
            <w:r>
              <w:rPr>
                <w:sz w:val="17"/>
              </w:rPr>
              <w:t>Do not compare teams</w:t>
            </w:r>
          </w:p>
        </w:tc>
      </w:tr>
      <w:tr>
        <w:tc>
          <w:tcPr>
            <w:tcW w:type="dxa" w:w="2556"/>
            <w:vAlign w:val="center"/>
          </w:tcPr>
          <w:p>
            <w:r>
              <w:rPr>
                <w:sz w:val="17"/>
              </w:rPr>
              <w:t>Burn-up</w:t>
            </w:r>
          </w:p>
        </w:tc>
        <w:tc>
          <w:tcPr>
            <w:tcW w:type="dxa" w:w="2556"/>
            <w:vAlign w:val="center"/>
          </w:tcPr>
          <w:p>
            <w:r>
              <w:rPr>
                <w:sz w:val="17"/>
              </w:rPr>
              <w:t>Scope completed vs total scope</w:t>
            </w:r>
          </w:p>
        </w:tc>
        <w:tc>
          <w:tcPr>
            <w:tcW w:type="dxa" w:w="2556"/>
            <w:vAlign w:val="center"/>
          </w:tcPr>
          <w:p>
            <w:r>
              <w:rPr>
                <w:sz w:val="17"/>
              </w:rPr>
              <w:t>Scope change + progress</w:t>
            </w:r>
          </w:p>
        </w:tc>
        <w:tc>
          <w:tcPr>
            <w:tcW w:type="dxa" w:w="2556"/>
            <w:vAlign w:val="center"/>
          </w:tcPr>
          <w:p>
            <w:r>
              <w:rPr>
                <w:sz w:val="17"/>
              </w:rPr>
              <w:t>Needs maintained backlog</w:t>
            </w:r>
          </w:p>
        </w:tc>
      </w:tr>
      <w:tr>
        <w:tc>
          <w:tcPr>
            <w:tcW w:type="dxa" w:w="2556"/>
            <w:vAlign w:val="center"/>
          </w:tcPr>
          <w:p>
            <w:r>
              <w:rPr>
                <w:sz w:val="17"/>
              </w:rPr>
              <w:t>Defect arrival / closure</w:t>
            </w:r>
          </w:p>
        </w:tc>
        <w:tc>
          <w:tcPr>
            <w:tcW w:type="dxa" w:w="2556"/>
            <w:vAlign w:val="center"/>
          </w:tcPr>
          <w:p>
            <w:r>
              <w:rPr>
                <w:sz w:val="17"/>
              </w:rPr>
              <w:t>Quality trend</w:t>
            </w:r>
          </w:p>
        </w:tc>
        <w:tc>
          <w:tcPr>
            <w:tcW w:type="dxa" w:w="2556"/>
            <w:vAlign w:val="center"/>
          </w:tcPr>
          <w:p>
            <w:r>
              <w:rPr>
                <w:sz w:val="17"/>
              </w:rPr>
              <w:t>Testing and release forecast</w:t>
            </w:r>
          </w:p>
        </w:tc>
        <w:tc>
          <w:tcPr>
            <w:tcW w:type="dxa" w:w="2556"/>
            <w:vAlign w:val="center"/>
          </w:tcPr>
          <w:p>
            <w:r>
              <w:rPr>
                <w:sz w:val="17"/>
              </w:rPr>
              <w:t>Severity matters</w:t>
            </w:r>
          </w:p>
        </w:tc>
      </w:tr>
      <w:tr>
        <w:tc>
          <w:tcPr>
            <w:tcW w:type="dxa" w:w="2556"/>
            <w:vAlign w:val="center"/>
          </w:tcPr>
          <w:p>
            <w:r>
              <w:rPr>
                <w:sz w:val="17"/>
              </w:rPr>
              <w:t>Automated test coverage</w:t>
            </w:r>
          </w:p>
        </w:tc>
        <w:tc>
          <w:tcPr>
            <w:tcW w:type="dxa" w:w="2556"/>
            <w:vAlign w:val="center"/>
          </w:tcPr>
          <w:p>
            <w:r>
              <w:rPr>
                <w:sz w:val="17"/>
              </w:rPr>
              <w:t>Regression capability</w:t>
            </w:r>
          </w:p>
        </w:tc>
        <w:tc>
          <w:tcPr>
            <w:tcW w:type="dxa" w:w="2556"/>
            <w:vAlign w:val="center"/>
          </w:tcPr>
          <w:p>
            <w:r>
              <w:rPr>
                <w:sz w:val="17"/>
              </w:rPr>
              <w:t>Quality signal</w:t>
            </w:r>
          </w:p>
        </w:tc>
        <w:tc>
          <w:tcPr>
            <w:tcW w:type="dxa" w:w="2556"/>
            <w:vAlign w:val="center"/>
          </w:tcPr>
          <w:p>
            <w:r>
              <w:rPr>
                <w:sz w:val="17"/>
              </w:rPr>
              <w:t>Coverage alone does not prove quality</w:t>
            </w:r>
          </w:p>
        </w:tc>
      </w:tr>
      <w:tr>
        <w:tc>
          <w:tcPr>
            <w:tcW w:type="dxa" w:w="2556"/>
            <w:vAlign w:val="center"/>
          </w:tcPr>
          <w:p>
            <w:r>
              <w:rPr>
                <w:sz w:val="17"/>
              </w:rPr>
              <w:t>Blocked time</w:t>
            </w:r>
          </w:p>
        </w:tc>
        <w:tc>
          <w:tcPr>
            <w:tcW w:type="dxa" w:w="2556"/>
            <w:vAlign w:val="center"/>
          </w:tcPr>
          <w:p>
            <w:r>
              <w:rPr>
                <w:sz w:val="17"/>
              </w:rPr>
              <w:t>Dependency friction</w:t>
            </w:r>
          </w:p>
        </w:tc>
        <w:tc>
          <w:tcPr>
            <w:tcW w:type="dxa" w:w="2556"/>
            <w:vAlign w:val="center"/>
          </w:tcPr>
          <w:p>
            <w:r>
              <w:rPr>
                <w:sz w:val="17"/>
              </w:rPr>
              <w:t>Delivery risk</w:t>
            </w:r>
          </w:p>
        </w:tc>
        <w:tc>
          <w:tcPr>
            <w:tcW w:type="dxa" w:w="2556"/>
            <w:vAlign w:val="center"/>
          </w:tcPr>
          <w:p>
            <w:r>
              <w:rPr>
                <w:sz w:val="17"/>
              </w:rPr>
              <w:t>Track cause, not just count</w:t>
            </w:r>
          </w:p>
        </w:tc>
      </w:tr>
      <w:tr>
        <w:tc>
          <w:tcPr>
            <w:tcW w:type="dxa" w:w="2556"/>
            <w:vAlign w:val="center"/>
          </w:tcPr>
          <w:p>
            <w:r>
              <w:rPr>
                <w:sz w:val="17"/>
              </w:rPr>
              <w:t>Release readiness</w:t>
            </w:r>
          </w:p>
        </w:tc>
        <w:tc>
          <w:tcPr>
            <w:tcW w:type="dxa" w:w="2556"/>
            <w:vAlign w:val="center"/>
          </w:tcPr>
          <w:p>
            <w:r>
              <w:rPr>
                <w:sz w:val="17"/>
              </w:rPr>
              <w:t>Operational completion</w:t>
            </w:r>
          </w:p>
        </w:tc>
        <w:tc>
          <w:tcPr>
            <w:tcW w:type="dxa" w:w="2556"/>
            <w:vAlign w:val="center"/>
          </w:tcPr>
          <w:p>
            <w:r>
              <w:rPr>
                <w:sz w:val="17"/>
              </w:rPr>
              <w:t>Go-live decision</w:t>
            </w:r>
          </w:p>
        </w:tc>
        <w:tc>
          <w:tcPr>
            <w:tcW w:type="dxa" w:w="2556"/>
            <w:vAlign w:val="center"/>
          </w:tcPr>
          <w:p>
            <w:r>
              <w:rPr>
                <w:sz w:val="17"/>
              </w:rPr>
              <w:t>Use objective exit criteria</w:t>
            </w:r>
          </w:p>
        </w:tc>
      </w:tr>
    </w:tbl>
    <w:p>
      <w:pPr>
        <w:pStyle w:val="Heading1"/>
        <w:spacing w:before="160" w:after="80"/>
      </w:pPr>
      <w:r>
        <w:t>9. Production Readiness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b/>
                <w:color w:val="FFFFFF"/>
                <w:sz w:val="17"/>
              </w:rPr>
              <w:t>Readiness Area</w:t>
            </w:r>
          </w:p>
        </w:tc>
        <w:tc>
          <w:tcPr>
            <w:tcW w:type="dxa" w:w="5112"/>
            <w:vAlign w:val="center"/>
            <w:shd w:fill="17365D"/>
          </w:tcPr>
          <w:p>
            <w:r>
              <w:rPr>
                <w:b/>
                <w:color w:val="FFFFFF"/>
                <w:sz w:val="17"/>
              </w:rPr>
              <w:t>Example Exit Criterion</w:t>
            </w:r>
          </w:p>
        </w:tc>
      </w:tr>
      <w:tr>
        <w:tc>
          <w:tcPr>
            <w:tcW w:type="dxa" w:w="5112"/>
            <w:vAlign w:val="center"/>
          </w:tcPr>
          <w:p>
            <w:r>
              <w:rPr>
                <w:sz w:val="17"/>
              </w:rPr>
              <w:t>Functional completion</w:t>
            </w:r>
          </w:p>
        </w:tc>
        <w:tc>
          <w:tcPr>
            <w:tcW w:type="dxa" w:w="5112"/>
            <w:vAlign w:val="center"/>
          </w:tcPr>
          <w:p>
            <w:r>
              <w:rPr>
                <w:sz w:val="17"/>
              </w:rPr>
              <w:t>Critical scope complete; deferred items documented</w:t>
            </w:r>
          </w:p>
        </w:tc>
      </w:tr>
      <w:tr>
        <w:tc>
          <w:tcPr>
            <w:tcW w:type="dxa" w:w="5112"/>
            <w:vAlign w:val="center"/>
          </w:tcPr>
          <w:p>
            <w:r>
              <w:rPr>
                <w:sz w:val="17"/>
              </w:rPr>
              <w:t>Defect position</w:t>
            </w:r>
          </w:p>
        </w:tc>
        <w:tc>
          <w:tcPr>
            <w:tcW w:type="dxa" w:w="5112"/>
            <w:vAlign w:val="center"/>
          </w:tcPr>
          <w:p>
            <w:r>
              <w:rPr>
                <w:sz w:val="17"/>
              </w:rPr>
              <w:t>No unresolved release-blocking defects; severity trend acceptable</w:t>
            </w:r>
          </w:p>
        </w:tc>
      </w:tr>
      <w:tr>
        <w:tc>
          <w:tcPr>
            <w:tcW w:type="dxa" w:w="5112"/>
            <w:vAlign w:val="center"/>
          </w:tcPr>
          <w:p>
            <w:r>
              <w:rPr>
                <w:sz w:val="17"/>
              </w:rPr>
              <w:t>Performance</w:t>
            </w:r>
          </w:p>
        </w:tc>
        <w:tc>
          <w:tcPr>
            <w:tcW w:type="dxa" w:w="5112"/>
            <w:vAlign w:val="center"/>
          </w:tcPr>
          <w:p>
            <w:r>
              <w:rPr>
                <w:sz w:val="17"/>
              </w:rPr>
              <w:t>Load / response targets met</w:t>
            </w:r>
          </w:p>
        </w:tc>
      </w:tr>
      <w:tr>
        <w:tc>
          <w:tcPr>
            <w:tcW w:type="dxa" w:w="5112"/>
            <w:vAlign w:val="center"/>
          </w:tcPr>
          <w:p>
            <w:r>
              <w:rPr>
                <w:sz w:val="17"/>
              </w:rPr>
              <w:t>Security</w:t>
            </w:r>
          </w:p>
        </w:tc>
        <w:tc>
          <w:tcPr>
            <w:tcW w:type="dxa" w:w="5112"/>
            <w:vAlign w:val="center"/>
          </w:tcPr>
          <w:p>
            <w:r>
              <w:rPr>
                <w:sz w:val="17"/>
              </w:rPr>
              <w:t>Required reviews, scans and remediation complete</w:t>
            </w:r>
          </w:p>
        </w:tc>
      </w:tr>
      <w:tr>
        <w:tc>
          <w:tcPr>
            <w:tcW w:type="dxa" w:w="5112"/>
            <w:vAlign w:val="center"/>
          </w:tcPr>
          <w:p>
            <w:r>
              <w:rPr>
                <w:sz w:val="17"/>
              </w:rPr>
              <w:t>Resilience</w:t>
            </w:r>
          </w:p>
        </w:tc>
        <w:tc>
          <w:tcPr>
            <w:tcW w:type="dxa" w:w="5112"/>
            <w:vAlign w:val="center"/>
          </w:tcPr>
          <w:p>
            <w:r>
              <w:rPr>
                <w:sz w:val="17"/>
              </w:rPr>
              <w:t>Backup, restore, failover and recovery procedures validated</w:t>
            </w:r>
          </w:p>
        </w:tc>
      </w:tr>
      <w:tr>
        <w:tc>
          <w:tcPr>
            <w:tcW w:type="dxa" w:w="5112"/>
            <w:vAlign w:val="center"/>
          </w:tcPr>
          <w:p>
            <w:r>
              <w:rPr>
                <w:sz w:val="17"/>
              </w:rPr>
              <w:t>Observability</w:t>
            </w:r>
          </w:p>
        </w:tc>
        <w:tc>
          <w:tcPr>
            <w:tcW w:type="dxa" w:w="5112"/>
            <w:vAlign w:val="center"/>
          </w:tcPr>
          <w:p>
            <w:r>
              <w:rPr>
                <w:sz w:val="17"/>
              </w:rPr>
              <w:t>Logging, metrics, alerts and dashboards operational</w:t>
            </w:r>
          </w:p>
        </w:tc>
      </w:tr>
      <w:tr>
        <w:tc>
          <w:tcPr>
            <w:tcW w:type="dxa" w:w="5112"/>
            <w:vAlign w:val="center"/>
          </w:tcPr>
          <w:p>
            <w:r>
              <w:rPr>
                <w:sz w:val="17"/>
              </w:rPr>
              <w:t>Support</w:t>
            </w:r>
          </w:p>
        </w:tc>
        <w:tc>
          <w:tcPr>
            <w:tcW w:type="dxa" w:w="5112"/>
            <w:vAlign w:val="center"/>
          </w:tcPr>
          <w:p>
            <w:r>
              <w:rPr>
                <w:sz w:val="17"/>
              </w:rPr>
              <w:t>Runbooks, support model and ownership agreed</w:t>
            </w:r>
          </w:p>
        </w:tc>
      </w:tr>
      <w:tr>
        <w:tc>
          <w:tcPr>
            <w:tcW w:type="dxa" w:w="5112"/>
            <w:vAlign w:val="center"/>
          </w:tcPr>
          <w:p>
            <w:r>
              <w:rPr>
                <w:sz w:val="17"/>
              </w:rPr>
              <w:t>Deployment</w:t>
            </w:r>
          </w:p>
        </w:tc>
        <w:tc>
          <w:tcPr>
            <w:tcW w:type="dxa" w:w="5112"/>
            <w:vAlign w:val="center"/>
          </w:tcPr>
          <w:p>
            <w:r>
              <w:rPr>
                <w:sz w:val="17"/>
              </w:rPr>
              <w:t>Release / rollback procedures rehearsed</w:t>
            </w:r>
          </w:p>
        </w:tc>
      </w:tr>
      <w:tr>
        <w:tc>
          <w:tcPr>
            <w:tcW w:type="dxa" w:w="5112"/>
            <w:vAlign w:val="center"/>
          </w:tcPr>
          <w:p>
            <w:r>
              <w:rPr>
                <w:sz w:val="17"/>
              </w:rPr>
              <w:t>Data migration</w:t>
            </w:r>
          </w:p>
        </w:tc>
        <w:tc>
          <w:tcPr>
            <w:tcW w:type="dxa" w:w="5112"/>
            <w:vAlign w:val="center"/>
          </w:tcPr>
          <w:p>
            <w:r>
              <w:rPr>
                <w:sz w:val="17"/>
              </w:rPr>
              <w:t>Reconciliation and cutover validation complete</w:t>
            </w:r>
          </w:p>
        </w:tc>
      </w:tr>
      <w:tr>
        <w:tc>
          <w:tcPr>
            <w:tcW w:type="dxa" w:w="5112"/>
            <w:vAlign w:val="center"/>
          </w:tcPr>
          <w:p>
            <w:r>
              <w:rPr>
                <w:sz w:val="17"/>
              </w:rPr>
              <w:t>Business readiness</w:t>
            </w:r>
          </w:p>
        </w:tc>
        <w:tc>
          <w:tcPr>
            <w:tcW w:type="dxa" w:w="5112"/>
            <w:vAlign w:val="center"/>
          </w:tcPr>
          <w:p>
            <w:r>
              <w:rPr>
                <w:sz w:val="17"/>
              </w:rPr>
              <w:t>Training, communications and operational procedures complete</w:t>
            </w:r>
          </w:p>
        </w:tc>
      </w:tr>
    </w:tbl>
    <w:p>
      <w:pPr>
        <w:pStyle w:val="Heading1"/>
        <w:spacing w:before="160" w:after="80"/>
      </w:pPr>
      <w:r>
        <w:t>10. Reusable Templates</w:t>
      </w:r>
    </w:p>
    <w:p>
      <w:pPr>
        <w:pStyle w:val="Heading2"/>
        <w:spacing w:before="100" w:after="80"/>
      </w:pPr>
      <w:r>
        <w:t>10.1 Early-Stage ROM Estimate Template</w:t>
      </w:r>
    </w:p>
    <w:tbl>
      <w:tblPr>
        <w:tblStyle w:val="TableGrid"/>
        <w:tblW w:type="auto" w:w="0"/>
        <w:tblLook w:firstColumn="1" w:firstRow="1" w:lastColumn="0" w:lastRow="0" w:noHBand="0" w:noVBand="1" w:val="04A0"/>
      </w:tblPr>
      <w:tblGrid>
        <w:gridCol w:w="5112"/>
        <w:gridCol w:w="5112"/>
      </w:tblGrid>
      <w:tr>
        <w:tc>
          <w:tcPr>
            <w:tcW w:type="dxa" w:w="5112"/>
            <w:shd w:fill="F2F2F2"/>
          </w:tcPr>
          <w:p>
            <w:r>
              <w:rPr>
                <w:b/>
              </w:rPr>
              <w:t>Project / Initiative</w:t>
            </w:r>
          </w:p>
        </w:tc>
        <w:tc>
          <w:tcPr>
            <w:tcW w:type="dxa" w:w="5112"/>
          </w:tcPr>
          <w:p>
            <w:r/>
          </w:p>
        </w:tc>
      </w:tr>
      <w:tr>
        <w:tc>
          <w:tcPr>
            <w:tcW w:type="dxa" w:w="5112"/>
            <w:shd w:fill="F2F2F2"/>
          </w:tcPr>
          <w:p>
            <w:r>
              <w:rPr>
                <w:b/>
              </w:rPr>
              <w:t>Estimate Date</w:t>
            </w:r>
          </w:p>
        </w:tc>
        <w:tc>
          <w:tcPr>
            <w:tcW w:type="dxa" w:w="5112"/>
          </w:tcPr>
          <w:p>
            <w:r/>
          </w:p>
        </w:tc>
      </w:tr>
      <w:tr>
        <w:tc>
          <w:tcPr>
            <w:tcW w:type="dxa" w:w="5112"/>
            <w:shd w:fill="F2F2F2"/>
          </w:tcPr>
          <w:p>
            <w:r>
              <w:rPr>
                <w:b/>
              </w:rPr>
              <w:t>Estimate Type</w:t>
            </w:r>
          </w:p>
        </w:tc>
        <w:tc>
          <w:tcPr>
            <w:tcW w:type="dxa" w:w="5112"/>
          </w:tcPr>
          <w:p>
            <w:r>
              <w:t>ROM / Refined ROM / Delivery Forecast</w:t>
            </w:r>
          </w:p>
        </w:tc>
      </w:tr>
      <w:tr>
        <w:tc>
          <w:tcPr>
            <w:tcW w:type="dxa" w:w="5112"/>
            <w:shd w:fill="F2F2F2"/>
          </w:tcPr>
          <w:p>
            <w:r>
              <w:rPr>
                <w:b/>
              </w:rPr>
              <w:t>Current Stage</w:t>
            </w:r>
          </w:p>
        </w:tc>
        <w:tc>
          <w:tcPr>
            <w:tcW w:type="dxa" w:w="5112"/>
          </w:tcPr>
          <w:p>
            <w:r/>
          </w:p>
        </w:tc>
      </w:tr>
      <w:tr>
        <w:tc>
          <w:tcPr>
            <w:tcW w:type="dxa" w:w="5112"/>
            <w:shd w:fill="F2F2F2"/>
          </w:tcPr>
          <w:p>
            <w:r>
              <w:rPr>
                <w:b/>
              </w:rPr>
              <w:t>Scope Summary</w:t>
            </w:r>
          </w:p>
        </w:tc>
        <w:tc>
          <w:tcPr>
            <w:tcW w:type="dxa" w:w="5112"/>
          </w:tcPr>
          <w:p>
            <w:r/>
          </w:p>
        </w:tc>
      </w:tr>
      <w:tr>
        <w:tc>
          <w:tcPr>
            <w:tcW w:type="dxa" w:w="5112"/>
            <w:shd w:fill="F2F2F2"/>
          </w:tcPr>
          <w:p>
            <w:r>
              <w:rPr>
                <w:b/>
              </w:rPr>
              <w:t>Out of Scope</w:t>
            </w:r>
          </w:p>
        </w:tc>
        <w:tc>
          <w:tcPr>
            <w:tcW w:type="dxa" w:w="5112"/>
          </w:tcPr>
          <w:p>
            <w:r/>
          </w:p>
        </w:tc>
      </w:tr>
      <w:tr>
        <w:tc>
          <w:tcPr>
            <w:tcW w:type="dxa" w:w="5112"/>
            <w:shd w:fill="F2F2F2"/>
          </w:tcPr>
          <w:p>
            <w:r>
              <w:rPr>
                <w:b/>
              </w:rPr>
              <w:t>Assumed Team Shape</w:t>
            </w:r>
          </w:p>
        </w:tc>
        <w:tc>
          <w:tcPr>
            <w:tcW w:type="dxa" w:w="5112"/>
          </w:tcPr>
          <w:p>
            <w:r/>
          </w:p>
        </w:tc>
      </w:tr>
      <w:tr>
        <w:tc>
          <w:tcPr>
            <w:tcW w:type="dxa" w:w="5112"/>
            <w:shd w:fill="F2F2F2"/>
          </w:tcPr>
          <w:p>
            <w:r>
              <w:rPr>
                <w:b/>
              </w:rPr>
              <w:t>Estimated Effort</w:t>
            </w:r>
          </w:p>
        </w:tc>
        <w:tc>
          <w:tcPr>
            <w:tcW w:type="dxa" w:w="5112"/>
          </w:tcPr>
          <w:p>
            <w:r/>
          </w:p>
        </w:tc>
      </w:tr>
      <w:tr>
        <w:tc>
          <w:tcPr>
            <w:tcW w:type="dxa" w:w="5112"/>
            <w:shd w:fill="F2F2F2"/>
          </w:tcPr>
          <w:p>
            <w:r>
              <w:rPr>
                <w:b/>
              </w:rPr>
              <w:t>Estimated Duration Range</w:t>
            </w:r>
          </w:p>
        </w:tc>
        <w:tc>
          <w:tcPr>
            <w:tcW w:type="dxa" w:w="5112"/>
          </w:tcPr>
          <w:p>
            <w:r/>
          </w:p>
        </w:tc>
      </w:tr>
      <w:tr>
        <w:tc>
          <w:tcPr>
            <w:tcW w:type="dxa" w:w="5112"/>
            <w:shd w:fill="F2F2F2"/>
          </w:tcPr>
          <w:p>
            <w:r>
              <w:rPr>
                <w:b/>
              </w:rPr>
              <w:t>Confidence</w:t>
            </w:r>
          </w:p>
        </w:tc>
        <w:tc>
          <w:tcPr>
            <w:tcW w:type="dxa" w:w="5112"/>
          </w:tcPr>
          <w:p>
            <w:r>
              <w:t>Low / Low-Medium / Medium / Medium-High / High</w:t>
            </w:r>
          </w:p>
        </w:tc>
      </w:tr>
      <w:tr>
        <w:tc>
          <w:tcPr>
            <w:tcW w:type="dxa" w:w="5112"/>
            <w:shd w:fill="F2F2F2"/>
          </w:tcPr>
          <w:p>
            <w:r>
              <w:rPr>
                <w:b/>
              </w:rPr>
              <w:t>Uncertainty Reserve</w:t>
            </w:r>
          </w:p>
        </w:tc>
        <w:tc>
          <w:tcPr>
            <w:tcW w:type="dxa" w:w="5112"/>
          </w:tcPr>
          <w:p>
            <w:r/>
          </w:p>
        </w:tc>
      </w:tr>
      <w:tr>
        <w:tc>
          <w:tcPr>
            <w:tcW w:type="dxa" w:w="5112"/>
            <w:shd w:fill="F2F2F2"/>
          </w:tcPr>
          <w:p>
            <w:r>
              <w:rPr>
                <w:b/>
              </w:rPr>
              <w:t>Top 5 Assumptions</w:t>
            </w:r>
          </w:p>
        </w:tc>
        <w:tc>
          <w:tcPr>
            <w:tcW w:type="dxa" w:w="5112"/>
          </w:tcPr>
          <w:p>
            <w:r/>
          </w:p>
        </w:tc>
      </w:tr>
      <w:tr>
        <w:tc>
          <w:tcPr>
            <w:tcW w:type="dxa" w:w="5112"/>
            <w:shd w:fill="F2F2F2"/>
          </w:tcPr>
          <w:p>
            <w:r>
              <w:rPr>
                <w:b/>
              </w:rPr>
              <w:t>Top 5 Unknowns</w:t>
            </w:r>
          </w:p>
        </w:tc>
        <w:tc>
          <w:tcPr>
            <w:tcW w:type="dxa" w:w="5112"/>
          </w:tcPr>
          <w:p>
            <w:r/>
          </w:p>
        </w:tc>
      </w:tr>
      <w:tr>
        <w:tc>
          <w:tcPr>
            <w:tcW w:type="dxa" w:w="5112"/>
            <w:shd w:fill="F2F2F2"/>
          </w:tcPr>
          <w:p>
            <w:r>
              <w:rPr>
                <w:b/>
              </w:rPr>
              <w:t>Critical Dependencies</w:t>
            </w:r>
          </w:p>
        </w:tc>
        <w:tc>
          <w:tcPr>
            <w:tcW w:type="dxa" w:w="5112"/>
          </w:tcPr>
          <w:p>
            <w:r/>
          </w:p>
        </w:tc>
      </w:tr>
      <w:tr>
        <w:tc>
          <w:tcPr>
            <w:tcW w:type="dxa" w:w="5112"/>
            <w:shd w:fill="F2F2F2"/>
          </w:tcPr>
          <w:p>
            <w:r>
              <w:rPr>
                <w:b/>
              </w:rPr>
              <w:t>Highest-Risk Areas</w:t>
            </w:r>
          </w:p>
        </w:tc>
        <w:tc>
          <w:tcPr>
            <w:tcW w:type="dxa" w:w="5112"/>
          </w:tcPr>
          <w:p>
            <w:r/>
          </w:p>
        </w:tc>
      </w:tr>
      <w:tr>
        <w:tc>
          <w:tcPr>
            <w:tcW w:type="dxa" w:w="5112"/>
            <w:shd w:fill="F2F2F2"/>
          </w:tcPr>
          <w:p>
            <w:r>
              <w:rPr>
                <w:b/>
              </w:rPr>
              <w:t>Next Re-estimation Gate</w:t>
            </w:r>
          </w:p>
        </w:tc>
        <w:tc>
          <w:tcPr>
            <w:tcW w:type="dxa" w:w="5112"/>
          </w:tcPr>
          <w:p>
            <w:r/>
          </w:p>
        </w:tc>
      </w:tr>
    </w:tbl>
    <w:p>
      <w:pPr>
        <w:pStyle w:val="Heading2"/>
        <w:spacing w:before="100" w:after="80"/>
      </w:pPr>
      <w:r>
        <w:t>10.2 Assumption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r>
              <w:rPr>
                <w:b/>
                <w:color w:val="FFFFFF"/>
                <w:sz w:val="17"/>
              </w:rPr>
              <w:t>ID</w:t>
            </w:r>
          </w:p>
        </w:tc>
        <w:tc>
          <w:tcPr>
            <w:tcW w:type="dxa" w:w="2045"/>
            <w:vAlign w:val="center"/>
            <w:shd w:fill="17365D"/>
          </w:tcPr>
          <w:p>
            <w:r>
              <w:rPr>
                <w:b/>
                <w:color w:val="FFFFFF"/>
                <w:sz w:val="17"/>
              </w:rPr>
              <w:t>Assumption</w:t>
            </w:r>
          </w:p>
        </w:tc>
        <w:tc>
          <w:tcPr>
            <w:tcW w:type="dxa" w:w="2045"/>
            <w:vAlign w:val="center"/>
            <w:shd w:fill="17365D"/>
          </w:tcPr>
          <w:p>
            <w:r>
              <w:rPr>
                <w:b/>
                <w:color w:val="FFFFFF"/>
                <w:sz w:val="17"/>
              </w:rPr>
              <w:t>Impact if False</w:t>
            </w:r>
          </w:p>
        </w:tc>
        <w:tc>
          <w:tcPr>
            <w:tcW w:type="dxa" w:w="2045"/>
            <w:vAlign w:val="center"/>
            <w:shd w:fill="17365D"/>
          </w:tcPr>
          <w:p>
            <w:r>
              <w:rPr>
                <w:b/>
                <w:color w:val="FFFFFF"/>
                <w:sz w:val="17"/>
              </w:rPr>
              <w:t>Owner</w:t>
            </w:r>
          </w:p>
        </w:tc>
        <w:tc>
          <w:tcPr>
            <w:tcW w:type="dxa" w:w="2045"/>
            <w:vAlign w:val="center"/>
            <w:shd w:fill="17365D"/>
          </w:tcPr>
          <w:p>
            <w:r>
              <w:rPr>
                <w:b/>
                <w:color w:val="FFFFFF"/>
                <w:sz w:val="17"/>
              </w:rPr>
              <w:t>Validation Date</w:t>
            </w: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bl>
    <w:p>
      <w:pPr>
        <w:pStyle w:val="Heading2"/>
        <w:spacing w:before="100" w:after="80"/>
      </w:pPr>
      <w:r>
        <w:t>10.3 Unknown / Decision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r>
              <w:rPr>
                <w:b/>
                <w:color w:val="FFFFFF"/>
                <w:sz w:val="17"/>
              </w:rPr>
              <w:t>ID</w:t>
            </w:r>
          </w:p>
        </w:tc>
        <w:tc>
          <w:tcPr>
            <w:tcW w:type="dxa" w:w="2045"/>
            <w:vAlign w:val="center"/>
            <w:shd w:fill="17365D"/>
          </w:tcPr>
          <w:p>
            <w:r>
              <w:rPr>
                <w:b/>
                <w:color w:val="FFFFFF"/>
                <w:sz w:val="17"/>
              </w:rPr>
              <w:t>Unknown / Decision Needed</w:t>
            </w:r>
          </w:p>
        </w:tc>
        <w:tc>
          <w:tcPr>
            <w:tcW w:type="dxa" w:w="2045"/>
            <w:vAlign w:val="center"/>
            <w:shd w:fill="17365D"/>
          </w:tcPr>
          <w:p>
            <w:r>
              <w:rPr>
                <w:b/>
                <w:color w:val="FFFFFF"/>
                <w:sz w:val="17"/>
              </w:rPr>
              <w:t>Estimate Impact</w:t>
            </w:r>
          </w:p>
        </w:tc>
        <w:tc>
          <w:tcPr>
            <w:tcW w:type="dxa" w:w="2045"/>
            <w:vAlign w:val="center"/>
            <w:shd w:fill="17365D"/>
          </w:tcPr>
          <w:p>
            <w:r>
              <w:rPr>
                <w:b/>
                <w:color w:val="FFFFFF"/>
                <w:sz w:val="17"/>
              </w:rPr>
              <w:t>Owner</w:t>
            </w:r>
          </w:p>
        </w:tc>
        <w:tc>
          <w:tcPr>
            <w:tcW w:type="dxa" w:w="2045"/>
            <w:vAlign w:val="center"/>
            <w:shd w:fill="17365D"/>
          </w:tcPr>
          <w:p>
            <w:r>
              <w:rPr>
                <w:b/>
                <w:color w:val="FFFFFF"/>
                <w:sz w:val="17"/>
              </w:rPr>
              <w:t>Target Date</w:t>
            </w: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r>
        <w:tc>
          <w:tcPr>
            <w:tcW w:type="dxa" w:w="2045"/>
            <w:vAlign w:val="center"/>
          </w:tcPr>
          <w:p/>
        </w:tc>
        <w:tc>
          <w:tcPr>
            <w:tcW w:type="dxa" w:w="2045"/>
            <w:vAlign w:val="center"/>
          </w:tcPr>
          <w:p/>
        </w:tc>
        <w:tc>
          <w:tcPr>
            <w:tcW w:type="dxa" w:w="2045"/>
            <w:vAlign w:val="center"/>
          </w:tcPr>
          <w:p/>
        </w:tc>
        <w:tc>
          <w:tcPr>
            <w:tcW w:type="dxa" w:w="2045"/>
            <w:vAlign w:val="center"/>
          </w:tcPr>
          <w:p/>
        </w:tc>
        <w:tc>
          <w:tcPr>
            <w:tcW w:type="dxa" w:w="2045"/>
            <w:vAlign w:val="center"/>
          </w:tcPr>
          <w:p/>
        </w:tc>
      </w:tr>
    </w:tbl>
    <w:p>
      <w:pPr>
        <w:pStyle w:val="Heading2"/>
        <w:spacing w:before="100" w:after="80"/>
      </w:pPr>
      <w:r>
        <w:t>10.4 Dependency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7365D"/>
          </w:tcPr>
          <w:p>
            <w:r>
              <w:rPr>
                <w:b/>
                <w:color w:val="FFFFFF"/>
                <w:sz w:val="17"/>
              </w:rPr>
              <w:t>Dependency</w:t>
            </w:r>
          </w:p>
        </w:tc>
        <w:tc>
          <w:tcPr>
            <w:tcW w:type="dxa" w:w="1704"/>
            <w:vAlign w:val="center"/>
            <w:shd w:fill="17365D"/>
          </w:tcPr>
          <w:p>
            <w:r>
              <w:rPr>
                <w:b/>
                <w:color w:val="FFFFFF"/>
                <w:sz w:val="17"/>
              </w:rPr>
              <w:t>Owner</w:t>
            </w:r>
          </w:p>
        </w:tc>
        <w:tc>
          <w:tcPr>
            <w:tcW w:type="dxa" w:w="1704"/>
            <w:vAlign w:val="center"/>
            <w:shd w:fill="17365D"/>
          </w:tcPr>
          <w:p>
            <w:r>
              <w:rPr>
                <w:b/>
                <w:color w:val="FFFFFF"/>
                <w:sz w:val="17"/>
              </w:rPr>
              <w:t>Needed By</w:t>
            </w:r>
          </w:p>
        </w:tc>
        <w:tc>
          <w:tcPr>
            <w:tcW w:type="dxa" w:w="1704"/>
            <w:vAlign w:val="center"/>
            <w:shd w:fill="17365D"/>
          </w:tcPr>
          <w:p>
            <w:r>
              <w:rPr>
                <w:b/>
                <w:color w:val="FFFFFF"/>
                <w:sz w:val="17"/>
              </w:rPr>
              <w:t>Critical?</w:t>
            </w:r>
          </w:p>
        </w:tc>
        <w:tc>
          <w:tcPr>
            <w:tcW w:type="dxa" w:w="1704"/>
            <w:vAlign w:val="center"/>
            <w:shd w:fill="17365D"/>
          </w:tcPr>
          <w:p>
            <w:r>
              <w:rPr>
                <w:b/>
                <w:color w:val="FFFFFF"/>
                <w:sz w:val="17"/>
              </w:rPr>
              <w:t>Status</w:t>
            </w:r>
          </w:p>
        </w:tc>
        <w:tc>
          <w:tcPr>
            <w:tcW w:type="dxa" w:w="1704"/>
            <w:vAlign w:val="center"/>
            <w:shd w:fill="17365D"/>
          </w:tcPr>
          <w:p>
            <w:r>
              <w:rPr>
                <w:b/>
                <w:color w:val="FFFFFF"/>
                <w:sz w:val="17"/>
              </w:rPr>
              <w:t>Estimate Impact</w:t>
            </w: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bl>
    <w:p>
      <w:pPr>
        <w:pStyle w:val="Heading2"/>
        <w:spacing w:before="100" w:after="80"/>
      </w:pPr>
      <w:r>
        <w:t>10.5 Capability Sizing Sheet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7365D"/>
          </w:tcPr>
          <w:p>
            <w:r>
              <w:rPr>
                <w:b/>
                <w:color w:val="FFFFFF"/>
                <w:sz w:val="17"/>
              </w:rPr>
              <w:t>Capability</w:t>
            </w:r>
          </w:p>
        </w:tc>
        <w:tc>
          <w:tcPr>
            <w:tcW w:type="dxa" w:w="1704"/>
            <w:vAlign w:val="center"/>
            <w:shd w:fill="17365D"/>
          </w:tcPr>
          <w:p>
            <w:r>
              <w:rPr>
                <w:b/>
                <w:color w:val="FFFFFF"/>
                <w:sz w:val="17"/>
              </w:rPr>
              <w:t>S/M/L/XL</w:t>
            </w:r>
          </w:p>
        </w:tc>
        <w:tc>
          <w:tcPr>
            <w:tcW w:type="dxa" w:w="1704"/>
            <w:vAlign w:val="center"/>
            <w:shd w:fill="17365D"/>
          </w:tcPr>
          <w:p>
            <w:r>
              <w:rPr>
                <w:b/>
                <w:color w:val="FFFFFF"/>
                <w:sz w:val="17"/>
              </w:rPr>
              <w:t>Integration</w:t>
            </w:r>
          </w:p>
        </w:tc>
        <w:tc>
          <w:tcPr>
            <w:tcW w:type="dxa" w:w="1704"/>
            <w:vAlign w:val="center"/>
            <w:shd w:fill="17365D"/>
          </w:tcPr>
          <w:p>
            <w:r>
              <w:rPr>
                <w:b/>
                <w:color w:val="FFFFFF"/>
                <w:sz w:val="17"/>
              </w:rPr>
              <w:t>Data</w:t>
            </w:r>
          </w:p>
        </w:tc>
        <w:tc>
          <w:tcPr>
            <w:tcW w:type="dxa" w:w="1704"/>
            <w:vAlign w:val="center"/>
            <w:shd w:fill="17365D"/>
          </w:tcPr>
          <w:p>
            <w:r>
              <w:rPr>
                <w:b/>
                <w:color w:val="FFFFFF"/>
                <w:sz w:val="17"/>
              </w:rPr>
              <w:t>NFR</w:t>
            </w:r>
          </w:p>
        </w:tc>
        <w:tc>
          <w:tcPr>
            <w:tcW w:type="dxa" w:w="1704"/>
            <w:vAlign w:val="center"/>
            <w:shd w:fill="17365D"/>
          </w:tcPr>
          <w:p>
            <w:r>
              <w:rPr>
                <w:b/>
                <w:color w:val="FFFFFF"/>
                <w:sz w:val="17"/>
              </w:rPr>
              <w:t>Comments</w:t>
            </w: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r>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c>
          <w:tcPr>
            <w:tcW w:type="dxa" w:w="1704"/>
            <w:vAlign w:val="center"/>
          </w:tcPr>
          <w:p/>
        </w:tc>
      </w:tr>
    </w:tbl>
    <w:p>
      <w:pPr>
        <w:pStyle w:val="Heading1"/>
        <w:spacing w:before="160" w:after="80"/>
      </w:pPr>
      <w:r>
        <w:t>11. Estimation Workshop Checklist</w:t>
      </w:r>
    </w:p>
    <w:p>
      <w:pPr>
        <w:pStyle w:val="Heading2"/>
        <w:spacing w:before="100" w:after="80"/>
      </w:pPr>
      <w:r>
        <w:t>Before the Workshop</w:t>
      </w:r>
    </w:p>
    <w:p>
      <w:pPr>
        <w:pStyle w:val="ListBullet"/>
        <w:spacing w:after="30"/>
      </w:pPr>
      <w:r>
        <w:t>Gather current scope, process maps, concept notes and business objectives.</w:t>
      </w:r>
    </w:p>
    <w:p>
      <w:pPr>
        <w:pStyle w:val="ListBullet"/>
        <w:spacing w:after="30"/>
      </w:pPr>
      <w:r>
        <w:t>Identify product, architecture, engineering, QA, data, security and operations representatives.</w:t>
      </w:r>
    </w:p>
    <w:p>
      <w:pPr>
        <w:pStyle w:val="ListBullet"/>
        <w:spacing w:after="30"/>
      </w:pPr>
      <w:r>
        <w:t>List known external systems, vendors, data sources and delivery constraints.</w:t>
      </w:r>
    </w:p>
    <w:p>
      <w:pPr>
        <w:pStyle w:val="ListBullet"/>
        <w:spacing w:after="30"/>
      </w:pPr>
      <w:r>
        <w:t>Prepare an assumption log and capability list.</w:t>
      </w:r>
    </w:p>
    <w:p>
      <w:pPr>
        <w:pStyle w:val="Heading2"/>
        <w:spacing w:before="100" w:after="80"/>
      </w:pPr>
      <w:r>
        <w:t>During the Workshop</w:t>
      </w:r>
    </w:p>
    <w:p>
      <w:pPr>
        <w:pStyle w:val="ListBullet"/>
        <w:spacing w:after="30"/>
      </w:pPr>
      <w:r>
        <w:t>Confirm the estimate purpose: funding, roadmap, staffing, sequencing or release planning.</w:t>
      </w:r>
    </w:p>
    <w:p>
      <w:pPr>
        <w:pStyle w:val="ListBullet"/>
        <w:spacing w:after="30"/>
      </w:pPr>
      <w:r>
        <w:t>Separate must-have scope from optional scope.</w:t>
      </w:r>
    </w:p>
    <w:p>
      <w:pPr>
        <w:pStyle w:val="ListBullet"/>
        <w:spacing w:after="30"/>
      </w:pPr>
      <w:r>
        <w:t>Size capabilities using the same scale and criteria.</w:t>
      </w:r>
    </w:p>
    <w:p>
      <w:pPr>
        <w:pStyle w:val="ListBullet"/>
        <w:spacing w:after="30"/>
      </w:pPr>
      <w:r>
        <w:t>Score integration, data and NFR complexity.</w:t>
      </w:r>
    </w:p>
    <w:p>
      <w:pPr>
        <w:pStyle w:val="ListBullet"/>
        <w:spacing w:after="30"/>
      </w:pPr>
      <w:r>
        <w:t>Record assumptions and unknowns as they arise.</w:t>
      </w:r>
    </w:p>
    <w:p>
      <w:pPr>
        <w:pStyle w:val="ListBullet"/>
        <w:spacing w:after="30"/>
      </w:pPr>
      <w:r>
        <w:t>Identify critical-path dependencies and specialist bottlenecks.</w:t>
      </w:r>
    </w:p>
    <w:p>
      <w:pPr>
        <w:pStyle w:val="ListBullet"/>
        <w:spacing w:after="30"/>
      </w:pPr>
      <w:r>
        <w:t>Create optimistic, likely and pessimistic scenarios.</w:t>
      </w:r>
    </w:p>
    <w:p>
      <w:pPr>
        <w:pStyle w:val="ListBullet"/>
        <w:spacing w:after="30"/>
      </w:pPr>
      <w:r>
        <w:t>Agree the confidence level and next re-estimation gate.</w:t>
      </w:r>
    </w:p>
    <w:p>
      <w:pPr>
        <w:pStyle w:val="Heading2"/>
        <w:spacing w:before="100" w:after="80"/>
      </w:pPr>
      <w:r>
        <w:t>After the Workshop</w:t>
      </w:r>
    </w:p>
    <w:p>
      <w:pPr>
        <w:pStyle w:val="ListBullet"/>
        <w:spacing w:after="30"/>
      </w:pPr>
      <w:r>
        <w:t>Publish the estimate together with assumptions and exclusions.</w:t>
      </w:r>
    </w:p>
    <w:p>
      <w:pPr>
        <w:pStyle w:val="ListBullet"/>
        <w:spacing w:after="30"/>
      </w:pPr>
      <w:r>
        <w:t>Make uncertainty visible instead of hiding it inside a single number.</w:t>
      </w:r>
    </w:p>
    <w:p>
      <w:pPr>
        <w:pStyle w:val="ListBullet"/>
        <w:spacing w:after="30"/>
      </w:pPr>
      <w:r>
        <w:t>Assign owners to validate major unknowns.</w:t>
      </w:r>
    </w:p>
    <w:p>
      <w:pPr>
        <w:pStyle w:val="ListBullet"/>
        <w:spacing w:after="30"/>
      </w:pPr>
      <w:r>
        <w:t>Schedule re-estimation at the next information maturity gate.</w:t>
      </w:r>
    </w:p>
    <w:p>
      <w:pPr>
        <w:pStyle w:val="ListBullet"/>
        <w:spacing w:after="30"/>
      </w:pPr>
      <w:r>
        <w:t>Track estimate changes and explain what new information caused them.</w:t>
      </w:r>
    </w:p>
    <w:p>
      <w:pPr>
        <w:pStyle w:val="Heading1"/>
        <w:spacing w:before="160" w:after="80"/>
      </w:pPr>
      <w:r>
        <w:t>12. Common Estimation Anti-Patterns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Pr>
                <w:b/>
                <w:color w:val="FFFFFF"/>
                <w:sz w:val="17"/>
              </w:rPr>
              <w:t>Anti-Pattern</w:t>
            </w:r>
          </w:p>
        </w:tc>
        <w:tc>
          <w:tcPr>
            <w:tcW w:type="dxa" w:w="5112"/>
            <w:vAlign w:val="center"/>
            <w:shd w:fill="17365D"/>
          </w:tcPr>
          <w:p>
            <w:r>
              <w:rPr>
                <w:b/>
                <w:color w:val="FFFFFF"/>
                <w:sz w:val="17"/>
              </w:rPr>
              <w:t>Why It Fails</w:t>
            </w:r>
          </w:p>
        </w:tc>
      </w:tr>
      <w:tr>
        <w:tc>
          <w:tcPr>
            <w:tcW w:type="dxa" w:w="5112"/>
            <w:vAlign w:val="center"/>
          </w:tcPr>
          <w:p>
            <w:r>
              <w:rPr>
                <w:sz w:val="17"/>
              </w:rPr>
              <w:t>False precision</w:t>
            </w:r>
          </w:p>
        </w:tc>
        <w:tc>
          <w:tcPr>
            <w:tcW w:type="dxa" w:w="5112"/>
            <w:vAlign w:val="center"/>
          </w:tcPr>
          <w:p>
            <w:r>
              <w:rPr>
                <w:sz w:val="17"/>
              </w:rPr>
              <w:t>Giving exact hours or dates when requirements and design are immature.</w:t>
            </w:r>
          </w:p>
        </w:tc>
      </w:tr>
      <w:tr>
        <w:tc>
          <w:tcPr>
            <w:tcW w:type="dxa" w:w="5112"/>
            <w:vAlign w:val="center"/>
          </w:tcPr>
          <w:p>
            <w:r>
              <w:rPr>
                <w:sz w:val="17"/>
              </w:rPr>
              <w:t>Premature story points</w:t>
            </w:r>
          </w:p>
        </w:tc>
        <w:tc>
          <w:tcPr>
            <w:tcW w:type="dxa" w:w="5112"/>
            <w:vAlign w:val="center"/>
          </w:tcPr>
          <w:p>
            <w:r>
              <w:rPr>
                <w:sz w:val="17"/>
              </w:rPr>
              <w:t>Inventing stories solely to create a number.</w:t>
            </w:r>
          </w:p>
        </w:tc>
      </w:tr>
      <w:tr>
        <w:tc>
          <w:tcPr>
            <w:tcW w:type="dxa" w:w="5112"/>
            <w:vAlign w:val="center"/>
          </w:tcPr>
          <w:p>
            <w:r>
              <w:rPr>
                <w:sz w:val="17"/>
              </w:rPr>
              <w:t>Single-number estimates</w:t>
            </w:r>
          </w:p>
        </w:tc>
        <w:tc>
          <w:tcPr>
            <w:tcW w:type="dxa" w:w="5112"/>
            <w:vAlign w:val="center"/>
          </w:tcPr>
          <w:p>
            <w:r>
              <w:rPr>
                <w:sz w:val="17"/>
              </w:rPr>
              <w:t>Removing uncertainty from the conversation.</w:t>
            </w:r>
          </w:p>
        </w:tc>
      </w:tr>
      <w:tr>
        <w:tc>
          <w:tcPr>
            <w:tcW w:type="dxa" w:w="5112"/>
            <w:vAlign w:val="center"/>
          </w:tcPr>
          <w:p>
            <w:r>
              <w:rPr>
                <w:sz w:val="17"/>
              </w:rPr>
              <w:t>Hidden assumptions</w:t>
            </w:r>
          </w:p>
        </w:tc>
        <w:tc>
          <w:tcPr>
            <w:tcW w:type="dxa" w:w="5112"/>
            <w:vAlign w:val="center"/>
          </w:tcPr>
          <w:p>
            <w:r>
              <w:rPr>
                <w:sz w:val="17"/>
              </w:rPr>
              <w:t>Publishing effort without stating what must be true.</w:t>
            </w:r>
          </w:p>
        </w:tc>
      </w:tr>
      <w:tr>
        <w:tc>
          <w:tcPr>
            <w:tcW w:type="dxa" w:w="5112"/>
            <w:vAlign w:val="center"/>
          </w:tcPr>
          <w:p>
            <w:r>
              <w:rPr>
                <w:sz w:val="17"/>
              </w:rPr>
              <w:t>Ignoring NFRs</w:t>
            </w:r>
          </w:p>
        </w:tc>
        <w:tc>
          <w:tcPr>
            <w:tcW w:type="dxa" w:w="5112"/>
            <w:vAlign w:val="center"/>
          </w:tcPr>
          <w:p>
            <w:r>
              <w:rPr>
                <w:sz w:val="17"/>
              </w:rPr>
              <w:t>Estimating features while omitting security, performance, resilience and operations.</w:t>
            </w:r>
          </w:p>
        </w:tc>
      </w:tr>
      <w:tr>
        <w:tc>
          <w:tcPr>
            <w:tcW w:type="dxa" w:w="5112"/>
            <w:vAlign w:val="center"/>
          </w:tcPr>
          <w:p>
            <w:r>
              <w:rPr>
                <w:sz w:val="17"/>
              </w:rPr>
              <w:t>Ignoring dependency lead time</w:t>
            </w:r>
          </w:p>
        </w:tc>
        <w:tc>
          <w:tcPr>
            <w:tcW w:type="dxa" w:w="5112"/>
            <w:vAlign w:val="center"/>
          </w:tcPr>
          <w:p>
            <w:r>
              <w:rPr>
                <w:sz w:val="17"/>
              </w:rPr>
              <w:t>Counting engineering effort but not vendor, environment or approval delays.</w:t>
            </w:r>
          </w:p>
        </w:tc>
      </w:tr>
      <w:tr>
        <w:tc>
          <w:tcPr>
            <w:tcW w:type="dxa" w:w="5112"/>
            <w:vAlign w:val="center"/>
          </w:tcPr>
          <w:p>
            <w:r>
              <w:rPr>
                <w:sz w:val="17"/>
              </w:rPr>
              <w:t>Treating contingency as padding</w:t>
            </w:r>
          </w:p>
        </w:tc>
        <w:tc>
          <w:tcPr>
            <w:tcW w:type="dxa" w:w="5112"/>
            <w:vAlign w:val="center"/>
          </w:tcPr>
          <w:p>
            <w:r>
              <w:rPr>
                <w:sz w:val="17"/>
              </w:rPr>
              <w:t>Using reserve without linking it to specific uncertainty.</w:t>
            </w:r>
          </w:p>
        </w:tc>
      </w:tr>
      <w:tr>
        <w:tc>
          <w:tcPr>
            <w:tcW w:type="dxa" w:w="5112"/>
            <w:vAlign w:val="center"/>
          </w:tcPr>
          <w:p>
            <w:r>
              <w:rPr>
                <w:sz w:val="17"/>
              </w:rPr>
              <w:t>Comparing team velocity</w:t>
            </w:r>
          </w:p>
        </w:tc>
        <w:tc>
          <w:tcPr>
            <w:tcW w:type="dxa" w:w="5112"/>
            <w:vAlign w:val="center"/>
          </w:tcPr>
          <w:p>
            <w:r>
              <w:rPr>
                <w:sz w:val="17"/>
              </w:rPr>
              <w:t>Using story points as an organisation-wide productivity metric.</w:t>
            </w:r>
          </w:p>
        </w:tc>
      </w:tr>
      <w:tr>
        <w:tc>
          <w:tcPr>
            <w:tcW w:type="dxa" w:w="5112"/>
            <w:vAlign w:val="center"/>
          </w:tcPr>
          <w:p>
            <w:r>
              <w:rPr>
                <w:sz w:val="17"/>
              </w:rPr>
              <w:t>Never re-estimating</w:t>
            </w:r>
          </w:p>
        </w:tc>
        <w:tc>
          <w:tcPr>
            <w:tcW w:type="dxa" w:w="5112"/>
            <w:vAlign w:val="center"/>
          </w:tcPr>
          <w:p>
            <w:r>
              <w:rPr>
                <w:sz w:val="17"/>
              </w:rPr>
              <w:t>Treating an early ROM as permanent despite new information.</w:t>
            </w:r>
          </w:p>
        </w:tc>
      </w:tr>
    </w:tbl>
    <w:p>
      <w:pPr>
        <w:pStyle w:val="Heading1"/>
        <w:spacing w:before="160" w:after="80"/>
      </w:pPr>
      <w:r>
        <w:t>13. Worked Example: Project in Infancy</w:t>
      </w:r>
    </w:p>
    <w:p>
      <w:r>
        <w:t>Scenario: A new internal workflow platform is proposed. Business requirements are still being written, architecture is undecided, and no epics or user stories exist.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Pr>
                <w:b/>
                <w:color w:val="FFFFFF"/>
                <w:sz w:val="17"/>
              </w:rPr>
              <w:t>Metric</w:t>
            </w:r>
          </w:p>
        </w:tc>
        <w:tc>
          <w:tcPr>
            <w:tcW w:type="dxa" w:w="3408"/>
            <w:vAlign w:val="center"/>
            <w:shd w:fill="17365D"/>
          </w:tcPr>
          <w:p>
            <w:r>
              <w:rPr>
                <w:b/>
                <w:color w:val="FFFFFF"/>
                <w:sz w:val="17"/>
              </w:rPr>
              <w:t>Observation</w:t>
            </w:r>
          </w:p>
        </w:tc>
        <w:tc>
          <w:tcPr>
            <w:tcW w:type="dxa" w:w="3408"/>
            <w:vAlign w:val="center"/>
            <w:shd w:fill="17365D"/>
          </w:tcPr>
          <w:p>
            <w:r>
              <w:rPr>
                <w:b/>
                <w:color w:val="FFFFFF"/>
                <w:sz w:val="17"/>
              </w:rPr>
              <w:t>Estimation Interpretation</w:t>
            </w:r>
          </w:p>
        </w:tc>
      </w:tr>
      <w:tr>
        <w:tc>
          <w:tcPr>
            <w:tcW w:type="dxa" w:w="3408"/>
            <w:vAlign w:val="center"/>
          </w:tcPr>
          <w:p>
            <w:r>
              <w:rPr>
                <w:sz w:val="17"/>
              </w:rPr>
              <w:t>Capabilities</w:t>
            </w:r>
          </w:p>
        </w:tc>
        <w:tc>
          <w:tcPr>
            <w:tcW w:type="dxa" w:w="3408"/>
            <w:vAlign w:val="center"/>
          </w:tcPr>
          <w:p>
            <w:r>
              <w:rPr>
                <w:sz w:val="17"/>
              </w:rPr>
              <w:t>9 identified; 2 large, 5 medium, 2 small</w:t>
            </w:r>
          </w:p>
        </w:tc>
        <w:tc>
          <w:tcPr>
            <w:tcW w:type="dxa" w:w="3408"/>
            <w:vAlign w:val="center"/>
          </w:tcPr>
          <w:p>
            <w:r>
              <w:rPr>
                <w:sz w:val="17"/>
              </w:rPr>
              <w:t>Moderate-high functional scope</w:t>
            </w:r>
          </w:p>
        </w:tc>
      </w:tr>
      <w:tr>
        <w:tc>
          <w:tcPr>
            <w:tcW w:type="dxa" w:w="3408"/>
            <w:vAlign w:val="center"/>
          </w:tcPr>
          <w:p>
            <w:r>
              <w:rPr>
                <w:sz w:val="17"/>
              </w:rPr>
              <w:t>Integrations</w:t>
            </w:r>
          </w:p>
        </w:tc>
        <w:tc>
          <w:tcPr>
            <w:tcW w:type="dxa" w:w="3408"/>
            <w:vAlign w:val="center"/>
          </w:tcPr>
          <w:p>
            <w:r>
              <w:rPr>
                <w:sz w:val="17"/>
              </w:rPr>
              <w:t>6; one legacy, two vendor</w:t>
            </w:r>
          </w:p>
        </w:tc>
        <w:tc>
          <w:tcPr>
            <w:tcW w:type="dxa" w:w="3408"/>
            <w:vAlign w:val="center"/>
          </w:tcPr>
          <w:p>
            <w:r>
              <w:rPr>
                <w:sz w:val="17"/>
              </w:rPr>
              <w:t>Integration risk is material</w:t>
            </w:r>
          </w:p>
        </w:tc>
      </w:tr>
      <w:tr>
        <w:tc>
          <w:tcPr>
            <w:tcW w:type="dxa" w:w="3408"/>
            <w:vAlign w:val="center"/>
          </w:tcPr>
          <w:p>
            <w:r>
              <w:rPr>
                <w:sz w:val="17"/>
              </w:rPr>
              <w:t>Data</w:t>
            </w:r>
          </w:p>
        </w:tc>
        <w:tc>
          <w:tcPr>
            <w:tcW w:type="dxa" w:w="3408"/>
            <w:vAlign w:val="center"/>
          </w:tcPr>
          <w:p>
            <w:r>
              <w:rPr>
                <w:sz w:val="17"/>
              </w:rPr>
              <w:t>3 sources; migration required</w:t>
            </w:r>
          </w:p>
        </w:tc>
        <w:tc>
          <w:tcPr>
            <w:tcW w:type="dxa" w:w="3408"/>
            <w:vAlign w:val="center"/>
          </w:tcPr>
          <w:p>
            <w:r>
              <w:rPr>
                <w:sz w:val="17"/>
              </w:rPr>
              <w:t>Migration estimate remains wide</w:t>
            </w:r>
          </w:p>
        </w:tc>
      </w:tr>
      <w:tr>
        <w:tc>
          <w:tcPr>
            <w:tcW w:type="dxa" w:w="3408"/>
            <w:vAlign w:val="center"/>
          </w:tcPr>
          <w:p>
            <w:r>
              <w:rPr>
                <w:sz w:val="17"/>
              </w:rPr>
              <w:t>NFRs</w:t>
            </w:r>
          </w:p>
        </w:tc>
        <w:tc>
          <w:tcPr>
            <w:tcW w:type="dxa" w:w="3408"/>
            <w:vAlign w:val="center"/>
          </w:tcPr>
          <w:p>
            <w:r>
              <w:rPr>
                <w:sz w:val="17"/>
              </w:rPr>
              <w:t>Security high; performance unknown</w:t>
            </w:r>
          </w:p>
        </w:tc>
        <w:tc>
          <w:tcPr>
            <w:tcW w:type="dxa" w:w="3408"/>
            <w:vAlign w:val="center"/>
          </w:tcPr>
          <w:p>
            <w:r>
              <w:rPr>
                <w:sz w:val="17"/>
              </w:rPr>
              <w:t>Architecture work required before refinement</w:t>
            </w:r>
          </w:p>
        </w:tc>
      </w:tr>
      <w:tr>
        <w:tc>
          <w:tcPr>
            <w:tcW w:type="dxa" w:w="3408"/>
            <w:vAlign w:val="center"/>
          </w:tcPr>
          <w:p>
            <w:r>
              <w:rPr>
                <w:sz w:val="17"/>
              </w:rPr>
              <w:t>Dependencies</w:t>
            </w:r>
          </w:p>
        </w:tc>
        <w:tc>
          <w:tcPr>
            <w:tcW w:type="dxa" w:w="3408"/>
            <w:vAlign w:val="center"/>
          </w:tcPr>
          <w:p>
            <w:r>
              <w:rPr>
                <w:sz w:val="17"/>
              </w:rPr>
              <w:t>4 critical external teams</w:t>
            </w:r>
          </w:p>
        </w:tc>
        <w:tc>
          <w:tcPr>
            <w:tcW w:type="dxa" w:w="3408"/>
            <w:vAlign w:val="center"/>
          </w:tcPr>
          <w:p>
            <w:r>
              <w:rPr>
                <w:sz w:val="17"/>
              </w:rPr>
              <w:t>Calendar duration may exceed pure effort</w:t>
            </w:r>
          </w:p>
        </w:tc>
      </w:tr>
      <w:tr>
        <w:tc>
          <w:tcPr>
            <w:tcW w:type="dxa" w:w="3408"/>
            <w:vAlign w:val="center"/>
          </w:tcPr>
          <w:p>
            <w:r>
              <w:rPr>
                <w:sz w:val="17"/>
              </w:rPr>
              <w:t>Unknowns</w:t>
            </w:r>
          </w:p>
        </w:tc>
        <w:tc>
          <w:tcPr>
            <w:tcW w:type="dxa" w:w="3408"/>
            <w:vAlign w:val="center"/>
          </w:tcPr>
          <w:p>
            <w:r>
              <w:rPr>
                <w:sz w:val="17"/>
              </w:rPr>
              <w:t>11 material unknowns</w:t>
            </w:r>
          </w:p>
        </w:tc>
        <w:tc>
          <w:tcPr>
            <w:tcW w:type="dxa" w:w="3408"/>
            <w:vAlign w:val="center"/>
          </w:tcPr>
          <w:p>
            <w:r>
              <w:rPr>
                <w:sz w:val="17"/>
              </w:rPr>
              <w:t>Confidence remains low</w:t>
            </w:r>
          </w:p>
        </w:tc>
      </w:tr>
      <w:tr>
        <w:tc>
          <w:tcPr>
            <w:tcW w:type="dxa" w:w="3408"/>
            <w:vAlign w:val="center"/>
          </w:tcPr>
          <w:p>
            <w:r>
              <w:rPr>
                <w:sz w:val="17"/>
              </w:rPr>
              <w:t>Estimate</w:t>
            </w:r>
          </w:p>
        </w:tc>
        <w:tc>
          <w:tcPr>
            <w:tcW w:type="dxa" w:w="3408"/>
            <w:vAlign w:val="center"/>
          </w:tcPr>
          <w:p>
            <w:r>
              <w:rPr>
                <w:sz w:val="17"/>
              </w:rPr>
              <w:t>40-60 person-months</w:t>
            </w:r>
          </w:p>
        </w:tc>
        <w:tc>
          <w:tcPr>
            <w:tcW w:type="dxa" w:w="3408"/>
            <w:vAlign w:val="center"/>
          </w:tcPr>
          <w:p>
            <w:r>
              <w:rPr>
                <w:sz w:val="17"/>
              </w:rPr>
              <w:t>Use range, not exact hours</w:t>
            </w:r>
          </w:p>
        </w:tc>
      </w:tr>
      <w:tr>
        <w:tc>
          <w:tcPr>
            <w:tcW w:type="dxa" w:w="3408"/>
            <w:vAlign w:val="center"/>
          </w:tcPr>
          <w:p>
            <w:r>
              <w:rPr>
                <w:sz w:val="17"/>
              </w:rPr>
              <w:t>Duration</w:t>
            </w:r>
          </w:p>
        </w:tc>
        <w:tc>
          <w:tcPr>
            <w:tcW w:type="dxa" w:w="3408"/>
            <w:vAlign w:val="center"/>
          </w:tcPr>
          <w:p>
            <w:r>
              <w:rPr>
                <w:sz w:val="17"/>
              </w:rPr>
              <w:t>8-12 months</w:t>
            </w:r>
          </w:p>
        </w:tc>
        <w:tc>
          <w:tcPr>
            <w:tcW w:type="dxa" w:w="3408"/>
            <w:vAlign w:val="center"/>
          </w:tcPr>
          <w:p>
            <w:r>
              <w:rPr>
                <w:sz w:val="17"/>
              </w:rPr>
              <w:t>Assumes stable 7-9 person cross-functional team</w:t>
            </w:r>
          </w:p>
        </w:tc>
      </w:tr>
      <w:tr>
        <w:tc>
          <w:tcPr>
            <w:tcW w:type="dxa" w:w="3408"/>
            <w:vAlign w:val="center"/>
          </w:tcPr>
          <w:p>
            <w:r>
              <w:rPr>
                <w:sz w:val="17"/>
              </w:rPr>
              <w:t>Reserve</w:t>
            </w:r>
          </w:p>
        </w:tc>
        <w:tc>
          <w:tcPr>
            <w:tcW w:type="dxa" w:w="3408"/>
            <w:vAlign w:val="center"/>
          </w:tcPr>
          <w:p>
            <w:r>
              <w:rPr>
                <w:sz w:val="17"/>
              </w:rPr>
              <w:t>30%</w:t>
            </w:r>
          </w:p>
        </w:tc>
        <w:tc>
          <w:tcPr>
            <w:tcW w:type="dxa" w:w="3408"/>
            <w:vAlign w:val="center"/>
          </w:tcPr>
          <w:p>
            <w:r>
              <w:rPr>
                <w:sz w:val="17"/>
              </w:rPr>
              <w:t>Reflects requirement, architecture and migration uncertainty</w:t>
            </w:r>
          </w:p>
        </w:tc>
      </w:tr>
      <w:tr>
        <w:tc>
          <w:tcPr>
            <w:tcW w:type="dxa" w:w="3408"/>
            <w:vAlign w:val="center"/>
          </w:tcPr>
          <w:p>
            <w:r>
              <w:rPr>
                <w:sz w:val="17"/>
              </w:rPr>
              <w:t>Confidence</w:t>
            </w:r>
          </w:p>
        </w:tc>
        <w:tc>
          <w:tcPr>
            <w:tcW w:type="dxa" w:w="3408"/>
            <w:vAlign w:val="center"/>
          </w:tcPr>
          <w:p>
            <w:r>
              <w:rPr>
                <w:sz w:val="17"/>
              </w:rPr>
              <w:t>Low</w:t>
            </w:r>
          </w:p>
        </w:tc>
        <w:tc>
          <w:tcPr>
            <w:tcW w:type="dxa" w:w="3408"/>
            <w:vAlign w:val="center"/>
          </w:tcPr>
          <w:p>
            <w:r>
              <w:rPr>
                <w:sz w:val="17"/>
              </w:rPr>
              <w:t>Re-estimate after requirements and architecture baseline</w:t>
            </w:r>
          </w:p>
        </w:tc>
      </w:tr>
    </w:tbl>
    <w:p>
      <w:pPr>
        <w:pStyle w:val="Heading2"/>
        <w:spacing w:before="100" w:after="80"/>
      </w:pPr>
      <w:r>
        <w:t>Suggested Estimate Statement</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17365D"/>
                <w:sz w:val="20"/>
              </w:rPr>
              <w:t>ROM wording</w:t>
              <w:br/>
            </w:r>
            <w:r>
              <w:rPr>
                <w:sz w:val="18"/>
              </w:rPr>
              <w:t>This is a Rough Order of Magnitude estimate based on the current understanding of scope. Requirements, architecture, integration complexity, data migration and non-functional requirements are still being developed. The estimate is therefore presented as a range and includes an explicit uncertainty reserve. It should not be treated as a delivery commitment. The estimate will be refreshed after requirements and target architecture are baselined.</w:t>
            </w:r>
          </w:p>
        </w:tc>
      </w:tr>
    </w:tbl>
    <w:p>
      <w:pPr>
        <w:spacing w:after="0"/>
      </w:pPr>
    </w:p>
    <w:p>
      <w:pPr>
        <w:pStyle w:val="Heading1"/>
        <w:spacing w:before="160" w:after="80"/>
      </w:pPr>
      <w:r>
        <w:t>14. One-Page Reference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Pr>
                <w:b/>
                <w:color w:val="FFFFFF"/>
                <w:sz w:val="17"/>
              </w:rPr>
              <w:t>If You Have...</w:t>
            </w:r>
          </w:p>
        </w:tc>
        <w:tc>
          <w:tcPr>
            <w:tcW w:type="dxa" w:w="3408"/>
            <w:vAlign w:val="center"/>
            <w:shd w:fill="17365D"/>
          </w:tcPr>
          <w:p>
            <w:r>
              <w:rPr>
                <w:b/>
                <w:color w:val="FFFFFF"/>
                <w:sz w:val="17"/>
              </w:rPr>
              <w:t>Estimate Using...</w:t>
            </w:r>
          </w:p>
        </w:tc>
        <w:tc>
          <w:tcPr>
            <w:tcW w:type="dxa" w:w="3408"/>
            <w:vAlign w:val="center"/>
            <w:shd w:fill="17365D"/>
          </w:tcPr>
          <w:p>
            <w:r>
              <w:rPr>
                <w:b/>
                <w:color w:val="FFFFFF"/>
                <w:sz w:val="17"/>
              </w:rPr>
              <w:t>Avoid...</w:t>
            </w:r>
          </w:p>
        </w:tc>
      </w:tr>
      <w:tr>
        <w:tc>
          <w:tcPr>
            <w:tcW w:type="dxa" w:w="3408"/>
            <w:vAlign w:val="center"/>
          </w:tcPr>
          <w:p>
            <w:r>
              <w:rPr>
                <w:sz w:val="17"/>
              </w:rPr>
              <w:t>Only an idea / concept</w:t>
            </w:r>
          </w:p>
        </w:tc>
        <w:tc>
          <w:tcPr>
            <w:tcW w:type="dxa" w:w="3408"/>
            <w:vAlign w:val="center"/>
          </w:tcPr>
          <w:p>
            <w:r>
              <w:rPr>
                <w:sz w:val="17"/>
              </w:rPr>
              <w:t>Capabilities, complexity, assumptions, dependencies, ROM range</w:t>
            </w:r>
          </w:p>
        </w:tc>
        <w:tc>
          <w:tcPr>
            <w:tcW w:type="dxa" w:w="3408"/>
            <w:vAlign w:val="center"/>
          </w:tcPr>
          <w:p>
            <w:r>
              <w:rPr>
                <w:sz w:val="17"/>
              </w:rPr>
              <w:t>Hours and story points</w:t>
            </w:r>
          </w:p>
        </w:tc>
      </w:tr>
      <w:tr>
        <w:tc>
          <w:tcPr>
            <w:tcW w:type="dxa" w:w="3408"/>
            <w:vAlign w:val="center"/>
          </w:tcPr>
          <w:p>
            <w:r>
              <w:rPr>
                <w:sz w:val="17"/>
              </w:rPr>
              <w:t>Requirements but no design</w:t>
            </w:r>
          </w:p>
        </w:tc>
        <w:tc>
          <w:tcPr>
            <w:tcW w:type="dxa" w:w="3408"/>
            <w:vAlign w:val="center"/>
          </w:tcPr>
          <w:p>
            <w:r>
              <w:rPr>
                <w:sz w:val="17"/>
              </w:rPr>
              <w:t>Feature groups, integration/data/NFR analysis, workstreams</w:t>
            </w:r>
          </w:p>
        </w:tc>
        <w:tc>
          <w:tcPr>
            <w:tcW w:type="dxa" w:w="3408"/>
            <w:vAlign w:val="center"/>
          </w:tcPr>
          <w:p>
            <w:r>
              <w:rPr>
                <w:sz w:val="17"/>
              </w:rPr>
              <w:t>Single-date commitments</w:t>
            </w:r>
          </w:p>
        </w:tc>
      </w:tr>
      <w:tr>
        <w:tc>
          <w:tcPr>
            <w:tcW w:type="dxa" w:w="3408"/>
            <w:vAlign w:val="center"/>
          </w:tcPr>
          <w:p>
            <w:r>
              <w:rPr>
                <w:sz w:val="17"/>
              </w:rPr>
              <w:t>Architecture + epics</w:t>
            </w:r>
          </w:p>
        </w:tc>
        <w:tc>
          <w:tcPr>
            <w:tcW w:type="dxa" w:w="3408"/>
            <w:vAlign w:val="center"/>
          </w:tcPr>
          <w:p>
            <w:r>
              <w:rPr>
                <w:sz w:val="17"/>
              </w:rPr>
              <w:t>Epic/workstream effort, dependency sequencing, capacity</w:t>
            </w:r>
          </w:p>
        </w:tc>
        <w:tc>
          <w:tcPr>
            <w:tcW w:type="dxa" w:w="3408"/>
            <w:vAlign w:val="center"/>
          </w:tcPr>
          <w:p>
            <w:r>
              <w:rPr>
                <w:sz w:val="17"/>
              </w:rPr>
              <w:t>Ignoring lead times</w:t>
            </w:r>
          </w:p>
        </w:tc>
      </w:tr>
      <w:tr>
        <w:tc>
          <w:tcPr>
            <w:tcW w:type="dxa" w:w="3408"/>
            <w:vAlign w:val="center"/>
          </w:tcPr>
          <w:p>
            <w:r>
              <w:rPr>
                <w:sz w:val="17"/>
              </w:rPr>
              <w:t>Stories + stable team</w:t>
            </w:r>
          </w:p>
        </w:tc>
        <w:tc>
          <w:tcPr>
            <w:tcW w:type="dxa" w:w="3408"/>
            <w:vAlign w:val="center"/>
          </w:tcPr>
          <w:p>
            <w:r>
              <w:rPr>
                <w:sz w:val="17"/>
              </w:rPr>
              <w:t>Throughput, cycle time, velocity, burn-up</w:t>
            </w:r>
          </w:p>
        </w:tc>
        <w:tc>
          <w:tcPr>
            <w:tcW w:type="dxa" w:w="3408"/>
            <w:vAlign w:val="center"/>
          </w:tcPr>
          <w:p>
            <w:r>
              <w:rPr>
                <w:sz w:val="17"/>
              </w:rPr>
              <w:t>Cross-team velocity comparisons</w:t>
            </w:r>
          </w:p>
        </w:tc>
      </w:tr>
      <w:tr>
        <w:tc>
          <w:tcPr>
            <w:tcW w:type="dxa" w:w="3408"/>
            <w:vAlign w:val="center"/>
          </w:tcPr>
          <w:p>
            <w:r>
              <w:rPr>
                <w:sz w:val="17"/>
              </w:rPr>
              <w:t>Active delivery</w:t>
            </w:r>
          </w:p>
        </w:tc>
        <w:tc>
          <w:tcPr>
            <w:tcW w:type="dxa" w:w="3408"/>
            <w:vAlign w:val="center"/>
          </w:tcPr>
          <w:p>
            <w:r>
              <w:rPr>
                <w:sz w:val="17"/>
              </w:rPr>
              <w:t>Actual completion rate, scope trend, defect trend</w:t>
            </w:r>
          </w:p>
        </w:tc>
        <w:tc>
          <w:tcPr>
            <w:tcW w:type="dxa" w:w="3408"/>
            <w:vAlign w:val="center"/>
          </w:tcPr>
          <w:p>
            <w:r>
              <w:rPr>
                <w:sz w:val="17"/>
              </w:rPr>
              <w:t>Forecasting only from original estimate</w:t>
            </w:r>
          </w:p>
        </w:tc>
      </w:tr>
      <w:tr>
        <w:tc>
          <w:tcPr>
            <w:tcW w:type="dxa" w:w="3408"/>
            <w:vAlign w:val="center"/>
          </w:tcPr>
          <w:p>
            <w:r>
              <w:rPr>
                <w:sz w:val="17"/>
              </w:rPr>
              <w:t>Pre-production</w:t>
            </w:r>
          </w:p>
        </w:tc>
        <w:tc>
          <w:tcPr>
            <w:tcW w:type="dxa" w:w="3408"/>
            <w:vAlign w:val="center"/>
          </w:tcPr>
          <w:p>
            <w:r>
              <w:rPr>
                <w:sz w:val="17"/>
              </w:rPr>
              <w:t>Readiness criteria, blockers, residual defects, operational checks</w:t>
            </w:r>
          </w:p>
        </w:tc>
        <w:tc>
          <w:tcPr>
            <w:tcW w:type="dxa" w:w="3408"/>
            <w:vAlign w:val="center"/>
          </w:tcPr>
          <w:p>
            <w:r>
              <w:rPr>
                <w:sz w:val="17"/>
              </w:rPr>
              <w:t>Equating code complete with production ready</w:t>
            </w:r>
          </w:p>
        </w:tc>
      </w:tr>
    </w:tbl>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sz w:val="20"/>
              </w:rPr>
              <w:t>Five numbers worth showing on every estimate</w:t>
              <w:br/>
            </w:r>
            <w:r>
              <w:rPr>
                <w:sz w:val="18"/>
              </w:rPr>
              <w:t>1) effort range; 2) duration range; 3) confidence; 4) uncertainty reserve; 5) number of material assumptions / unknowns.</w:t>
            </w:r>
          </w:p>
        </w:tc>
      </w:tr>
    </w:tbl>
    <w:p>
      <w:pPr>
        <w:spacing w:after="0"/>
      </w:pPr>
    </w:p>
    <w:p>
      <w:pPr>
        <w:pStyle w:val="Heading1"/>
        <w:spacing w:before="160" w:after="80"/>
      </w:pPr>
      <w:r>
        <w:t>15. Final Guidance</w:t>
      </w:r>
    </w:p>
    <w:p>
      <w:r>
        <w:t>A good estimate is not the most detailed estimate. It is the estimate that accurately reflects the information available at the time, makes uncertainty visible, and becomes more precise as evidence improves. Early in a project, the objective is not to predict an exact finish date; it is to establish a credible planning range, identify the biggest drivers of uncertainty, and define what information is needed to improve the forecast.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Reference guide for early-stage through production estimation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Software Project Estimation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