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Policy Handbook</w:t>
      </w:r>
    </w:p>
    <w:p>
      <w:pPr>
        <w:pStyle w:val="Heading2"/>
      </w:pPr>
      <w:r>
        <w:t>Refund Policy</w:t>
      </w:r>
    </w:p>
    <w:p>
      <w:r>
        <w:t>Customers on the Pro Plan or Enterprise Plan may request a full refund within 14 days of purchase. Starter Plan purchases and Add-on Packs are non-refundable. Refund requests must be submitted through support and are processed within 5 business days.</w:t>
      </w:r>
    </w:p>
    <w:p>
      <w:pPr>
        <w:pStyle w:val="Heading2"/>
      </w:pPr>
      <w:r>
        <w:t>Support SLA</w:t>
      </w:r>
    </w:p>
    <w:p>
      <w:r>
        <w:t>Enterprise Plan customers receive priority support with a 4-hour response time. Pro Plan customers receive a 1-business-day response time. Starter Plan customers are supported via community forums only.</w:t>
      </w:r>
    </w:p>
    <w:p>
      <w:pPr>
        <w:pStyle w:val="Heading2"/>
      </w:pPr>
      <w:r>
        <w:t>Data Retention</w:t>
      </w:r>
    </w:p>
    <w:p>
      <w:r>
        <w:t>Customer account data is retained for 90 days after account cancellation, after which it is permanently deleted. Backups are retained for an additional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