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B2A4A"/>
          <w:sz w:val="52"/>
          <w:szCs w:val="52"/>
        </w:rPr>
        <w:t xml:space="preserve">AI Agent-Based Invoice Processing</w:t>
      </w:r>
    </w:p>
    <w:p>
      <w:pPr>
        <w:spacing w:after="300"/>
        <w:jc w:val="center"/>
      </w:pPr>
      <w:r>
        <w:rPr>
          <w:rFonts w:ascii="Calibri" w:cs="Calibri" w:eastAsia="Calibri" w:hAnsi="Calibri"/>
          <w:color w:val="0F766E"/>
          <w:sz w:val="30"/>
          <w:szCs w:val="30"/>
        </w:rPr>
        <w:t xml:space="preserve">Solution Design — Business Overview</w:t>
      </w:r>
    </w:p>
    <w:p>
      <w:pPr>
        <w:spacing w:after="60"/>
        <w:jc w:val="center"/>
      </w:pPr>
      <w:r>
        <w:rPr>
          <w:rFonts w:ascii="Calibri" w:cs="Calibri" w:eastAsia="Calibri" w:hAnsi="Calibri"/>
          <w:i/>
          <w:iCs/>
          <w:color w:val="595959"/>
          <w:sz w:val="24"/>
          <w:szCs w:val="24"/>
        </w:rPr>
        <w:t xml:space="preserve">Automated  |  Accurate  |  Auditable  |  Integrated</w:t>
      </w:r>
    </w:p>
    <w:p>
      <w:pPr>
        <w:spacing w:after="0" w:before="2400"/>
        <w:jc w:val="center"/>
      </w:pPr>
      <w:r>
        <w:rPr>
          <w:rFonts w:ascii="Calibri" w:cs="Calibri" w:eastAsia="Calibri" w:hAnsi="Calibri"/>
          <w:color w:val="595959"/>
          <w:sz w:val="22"/>
          <w:szCs w:val="22"/>
        </w:rPr>
        <w:t xml:space="preserve">Liquid Alternatives — Engineering &amp; AI Strategy</w:t>
      </w:r>
    </w:p>
    <w:p>
      <w:pPr>
        <w:spacing w:after="0"/>
        <w:jc w:val="center"/>
      </w:pPr>
      <w:r>
        <w:rPr>
          <w:rFonts w:ascii="Calibri" w:cs="Calibri" w:eastAsia="Calibri" w:hAnsi="Calibri"/>
          <w:color w:val="595959"/>
          <w:sz w:val="22"/>
          <w:szCs w:val="22"/>
        </w:rPr>
        <w:t xml:space="preserve">July 2026  ·  Draft for discussion</w:t>
      </w:r>
    </w:p>
    <w:p>
      <w:r>
        <w:br w:type="page"/>
      </w:r>
    </w:p>
    <w:p>
      <w:pPr>
        <w:pStyle w:val="Heading1"/>
        <w:spacing w:after="200" w:before="360"/>
      </w:pPr>
      <w:r>
        <w:rPr>
          <w:rFonts w:ascii="Calibri" w:cs="Calibri" w:eastAsia="Calibri" w:hAnsi="Calibri"/>
          <w:b/>
          <w:bCs/>
          <w:color w:val="1B2A4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2A4A"/>
          <w:sz w:val="30"/>
          <w:szCs w:val="30"/>
        </w:rPr>
        <w:t xml:space="preserve">1. Executive Summary</w:t>
      </w:r>
    </w:p>
    <w:p>
      <w:pPr>
        <w:spacing w:after="160" w:line="288"/>
      </w:pPr>
      <w:r>
        <w:rPr>
          <w:rFonts w:ascii="Calibri" w:cs="Calibri" w:eastAsia="Calibri" w:hAnsi="Calibri"/>
          <w:color w:val="222222"/>
          <w:sz w:val="22"/>
          <w:szCs w:val="22"/>
        </w:rPr>
        <w:t xml:space="preserve">Invoice processing in our operation today is largely manual: invoices arrive as PDF documents, staff read and re-key their contents, check them against purchase orders and vendor records, obtain a second approval, enter the results into Geneva, assemble the supporting control documentation, and finally confirm or reject the payment with the client. Each of these steps is repetitive, time-consuming, and — because it relies on manual transcription — a source of errors and rework.</w:t>
      </w:r>
    </w:p>
    <w:p>
      <w:pPr>
        <w:spacing w:after="160" w:line="288"/>
      </w:pPr>
      <w:r>
        <w:rPr>
          <w:rFonts w:ascii="Calibri" w:cs="Calibri" w:eastAsia="Calibri" w:hAnsi="Calibri"/>
          <w:color w:val="222222"/>
          <w:sz w:val="22"/>
          <w:szCs w:val="22"/>
        </w:rPr>
        <w:t xml:space="preserve">This document describes a system that automates that workflow using AI “agents”: software workers, powered by a large language model (LLM), each responsible for one well-defined step of the process. The agents read the invoice, check it against our master data and business rules, prepare a clear summary for a human reviewer, and — only after a person has approved it — push the validated figures to Geneva, produce the NAV control pack, and send the client a confirmation or a rejection with reasons.</w:t>
      </w:r>
    </w:p>
    <w:p>
      <w:pPr>
        <w:spacing w:after="160" w:line="288"/>
      </w:pPr>
      <w:r>
        <w:rPr>
          <w:rFonts w:ascii="Calibri" w:cs="Calibri" w:eastAsia="Calibri" w:hAnsi="Calibri"/>
          <w:color w:val="222222"/>
          <w:sz w:val="22"/>
          <w:szCs w:val="22"/>
        </w:rPr>
        <w:t xml:space="preserve">Two points deserve emphasis for a business and risk audience:</w:t>
      </w:r>
    </w:p>
    <w:p>
      <w:pPr>
        <w:pStyle w:val="ListParagraph"/>
        <w:numPr>
          <w:ilvl w:val="0"/>
          <w:numId w:val="2"/>
        </w:numPr>
        <w:spacing w:after="120" w:line="276"/>
      </w:pPr>
      <w:r>
        <w:rPr>
          <w:rFonts w:ascii="Calibri" w:cs="Calibri" w:eastAsia="Calibri" w:hAnsi="Calibri"/>
          <w:b/>
          <w:bCs/>
          <w:color w:val="222222"/>
          <w:sz w:val="22"/>
          <w:szCs w:val="22"/>
        </w:rPr>
        <w:t xml:space="preserve">People stay in control — </w:t>
      </w:r>
      <w:r>
        <w:rPr>
          <w:rFonts w:ascii="Calibri" w:cs="Calibri" w:eastAsia="Calibri" w:hAnsi="Calibri"/>
          <w:color w:val="222222"/>
          <w:sz w:val="22"/>
          <w:szCs w:val="22"/>
        </w:rPr>
        <w:t xml:space="preserve">Every payment still requires human approval. The system enforces a mandatory “four-eye” review: the person who approves an invoice must be different from the person who submitted it, and nothing can reach Geneva without that approval. This control is built into the software itself and cannot be bypassed by the AI.</w:t>
      </w:r>
    </w:p>
    <w:p>
      <w:pPr>
        <w:pStyle w:val="ListParagraph"/>
        <w:numPr>
          <w:ilvl w:val="0"/>
          <w:numId w:val="2"/>
        </w:numPr>
        <w:spacing w:after="120" w:line="276"/>
      </w:pPr>
      <w:r>
        <w:rPr>
          <w:rFonts w:ascii="Calibri" w:cs="Calibri" w:eastAsia="Calibri" w:hAnsi="Calibri"/>
          <w:b/>
          <w:bCs/>
          <w:color w:val="222222"/>
          <w:sz w:val="22"/>
          <w:szCs w:val="22"/>
        </w:rPr>
        <w:t xml:space="preserve">The AI assists; it does not decide — </w:t>
      </w:r>
      <w:r>
        <w:rPr>
          <w:rFonts w:ascii="Calibri" w:cs="Calibri" w:eastAsia="Calibri" w:hAnsi="Calibri"/>
          <w:color w:val="222222"/>
          <w:sz w:val="22"/>
          <w:szCs w:val="22"/>
        </w:rPr>
        <w:t xml:space="preserve">Decisions with financial consequences — whether amounts reconcile, whether the vendor is valid, whether a purchase order matches — are made by fixed, testable business rules written in code, not by the AI. The AI does the reading, matching, and summarising; the rules and the humans decide.</w:t>
      </w:r>
    </w:p>
    <w:p>
      <w:pPr>
        <w:spacing w:after="160" w:line="288"/>
      </w:pPr>
      <w:r>
        <w:rPr>
          <w:rFonts w:ascii="Calibri" w:cs="Calibri" w:eastAsia="Calibri" w:hAnsi="Calibri"/>
          <w:color w:val="222222"/>
          <w:sz w:val="22"/>
          <w:szCs w:val="22"/>
        </w:rPr>
        <w:t xml:space="preserve">The expected benefits are faster turnaround, fewer transcription errors, a complete and automatic audit trail of every action, and staff time redirected from re-keying data to reviewing exceptions and serving clients.</w:t>
      </w:r>
    </w:p>
    <w:p>
      <w:pPr>
        <w:pStyle w:val="Heading1"/>
        <w:spacing w:after="200" w:before="360"/>
      </w:pPr>
      <w:r>
        <w:rPr>
          <w:rFonts w:ascii="Calibri" w:cs="Calibri" w:eastAsia="Calibri" w:hAnsi="Calibri"/>
          <w:b/>
          <w:bCs/>
          <w:color w:val="1B2A4A"/>
          <w:sz w:val="30"/>
          <w:szCs w:val="30"/>
        </w:rPr>
        <w:t xml:space="preserve">2. The Problem We Are Solving</w:t>
      </w:r>
    </w:p>
    <w:p>
      <w:pPr>
        <w:spacing w:after="160" w:line="288"/>
      </w:pPr>
      <w:r>
        <w:rPr>
          <w:rFonts w:ascii="Calibri" w:cs="Calibri" w:eastAsia="Calibri" w:hAnsi="Calibri"/>
          <w:color w:val="222222"/>
          <w:sz w:val="22"/>
          <w:szCs w:val="22"/>
        </w:rPr>
        <w:t xml:space="preserve">The current process depends on people performing the same sequence of manual steps for every invoice, regardless of how routine it is: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900"/>
        <w:gridCol w:w="5460"/>
      </w:tblGrid>
      <w:tr>
        <w:trPr>
          <w:tblHeader/>
        </w:trPr>
        <w:tc>
          <w:tcPr>
            <w:tcW w:type="dxa" w:w="390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Step today</w:t>
            </w:r>
          </w:p>
        </w:tc>
        <w:tc>
          <w:tcPr>
            <w:tcW w:type="dxa" w:w="546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Pain point</w:t>
            </w:r>
          </w:p>
        </w:tc>
      </w:tr>
      <w:tr>
        <w:tc>
          <w:tcPr>
            <w:tcW w:type="dxa" w:w="39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Open each PDF invoice and read its contents</w:t>
            </w:r>
          </w:p>
        </w:tc>
        <w:tc>
          <w:tcPr>
            <w:tcW w:type="dxa" w:w="5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Slow; effort is the same for a routine invoice as for a problem one</w:t>
            </w:r>
          </w:p>
        </w:tc>
      </w:tr>
      <w:tr>
        <w:tc>
          <w:tcPr>
            <w:tcW w:type="dxa" w:w="39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Re-key amounts, dates and references into our systems</w:t>
            </w:r>
          </w:p>
        </w:tc>
        <w:tc>
          <w:tcPr>
            <w:tcW w:type="dxa" w:w="54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Transcription errors; a single wrong digit can misstate a payment</w:t>
            </w:r>
          </w:p>
        </w:tc>
      </w:tr>
      <w:tr>
        <w:tc>
          <w:tcPr>
            <w:tcW w:type="dxa" w:w="39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Check vendor, purchase order and totals by hand</w:t>
            </w:r>
          </w:p>
        </w:tc>
        <w:tc>
          <w:tcPr>
            <w:tcW w:type="dxa" w:w="5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Inconsistent between individuals; checks can be missed under time pressure</w:t>
            </w:r>
          </w:p>
        </w:tc>
      </w:tr>
      <w:tr>
        <w:tc>
          <w:tcPr>
            <w:tcW w:type="dxa" w:w="39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Obtain second approval over email or in person</w:t>
            </w:r>
          </w:p>
        </w:tc>
        <w:tc>
          <w:tcPr>
            <w:tcW w:type="dxa" w:w="54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Hard to evidence; approvals are scattered across inboxes</w:t>
            </w:r>
          </w:p>
        </w:tc>
      </w:tr>
      <w:tr>
        <w:tc>
          <w:tcPr>
            <w:tcW w:type="dxa" w:w="39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Enter validated values into Geneva</w:t>
            </w:r>
          </w:p>
        </w:tc>
        <w:tc>
          <w:tcPr>
            <w:tcW w:type="dxa" w:w="5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Duplicated typing; risk of the approved figure and the entered figure differing</w:t>
            </w:r>
          </w:p>
        </w:tc>
      </w:tr>
      <w:tr>
        <w:tc>
          <w:tcPr>
            <w:tcW w:type="dxa" w:w="39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Assemble the NAV control pack manually</w:t>
            </w:r>
          </w:p>
        </w:tc>
        <w:tc>
          <w:tcPr>
            <w:tcW w:type="dxa" w:w="54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Time-consuming; documents assembled after the fact</w:t>
            </w:r>
          </w:p>
        </w:tc>
      </w:tr>
      <w:tr>
        <w:tc>
          <w:tcPr>
            <w:tcW w:type="dxa" w:w="39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Confirm or reject payment with the client</w:t>
            </w:r>
          </w:p>
        </w:tc>
        <w:tc>
          <w:tcPr>
            <w:tcW w:type="dxa" w:w="5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Delays; clients chase for status</w:t>
            </w:r>
          </w:p>
        </w:tc>
      </w:tr>
    </w:tbl>
    <w:p>
      <w:pPr>
        <w:spacing w:after="120"/>
      </w:pPr>
    </w:p>
    <w:p>
      <w:pPr>
        <w:spacing w:after="160" w:line="288"/>
      </w:pPr>
      <w:r>
        <w:rPr>
          <w:rFonts w:ascii="Calibri" w:cs="Calibri" w:eastAsia="Calibri" w:hAnsi="Calibri"/>
          <w:color w:val="222222"/>
          <w:sz w:val="22"/>
          <w:szCs w:val="22"/>
        </w:rPr>
        <w:t xml:space="preserve">None of these steps individually is difficult; the cost is in their volume and repetition. The opportunity is to let software do the reading, checking and paperwork, while keeping people exactly where they add value: judgement and approval.</w:t>
      </w:r>
    </w:p>
    <w:p>
      <w:pPr>
        <w:pStyle w:val="Heading1"/>
        <w:spacing w:after="200" w:before="360"/>
      </w:pPr>
      <w:r>
        <w:rPr>
          <w:rFonts w:ascii="Calibri" w:cs="Calibri" w:eastAsia="Calibri" w:hAnsi="Calibri"/>
          <w:b/>
          <w:bCs/>
          <w:color w:val="1B2A4A"/>
          <w:sz w:val="30"/>
          <w:szCs w:val="30"/>
        </w:rPr>
        <w:t xml:space="preserve">3. The Design at a Glance</w:t>
      </w:r>
    </w:p>
    <w:p>
      <w:pPr>
        <w:spacing w:after="160" w:line="288"/>
      </w:pPr>
      <w:r>
        <w:rPr>
          <w:rFonts w:ascii="Calibri" w:cs="Calibri" w:eastAsia="Calibri" w:hAnsi="Calibri"/>
          <w:color w:val="222222"/>
          <w:sz w:val="22"/>
          <w:szCs w:val="22"/>
        </w:rPr>
        <w:t xml:space="preserve">The system is organised as a pipeline of five specialised AI agents, coordinated by an orchestration layer. An “agent” here is simply a software worker with a narrow job description and a small set of approved tools it is allowed to use — nothing more. Invoices can arrive from any of today’s channels (email, upload portal, shared drives, or other systems).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560"/>
        <w:gridCol w:w="2700"/>
        <w:gridCol w:w="6100"/>
      </w:tblGrid>
      <w:tr>
        <w:trPr>
          <w:tblHeader/>
        </w:trPr>
        <w:tc>
          <w:tcPr>
            <w:tcW w:type="dxa" w:w="56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w:t>
            </w:r>
          </w:p>
        </w:tc>
        <w:tc>
          <w:tcPr>
            <w:tcW w:type="dxa" w:w="270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Agent</w:t>
            </w:r>
          </w:p>
        </w:tc>
        <w:tc>
          <w:tcPr>
            <w:tcW w:type="dxa" w:w="610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What it does in plain terms</w:t>
            </w:r>
          </w:p>
        </w:tc>
      </w:tr>
      <w:tr>
        <w:tc>
          <w:tcPr>
            <w:tcW w:type="dxa" w:w="5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1</w:t>
            </w:r>
          </w:p>
        </w:tc>
        <w:tc>
          <w:tcPr>
            <w:tcW w:type="dxa" w:w="27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Invoice Ingest &amp; Understanding</w:t>
            </w:r>
          </w:p>
        </w:tc>
        <w:tc>
          <w:tcPr>
            <w:tcW w:type="dxa" w:w="61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Reads the PDF and lifts out the key facts: invoice number, vendor, dates, amounts, purchase order reference. It also records how confident it is in what it read.</w:t>
            </w:r>
          </w:p>
        </w:tc>
      </w:tr>
      <w:tr>
        <w:tc>
          <w:tcPr>
            <w:tcW w:type="dxa" w:w="5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2</w:t>
            </w:r>
          </w:p>
        </w:tc>
        <w:tc>
          <w:tcPr>
            <w:tcW w:type="dxa" w:w="2700"/>
            <w:shd w:fill="EEF2F7"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Data Validation &amp; Enrichment</w:t>
            </w:r>
          </w:p>
        </w:tc>
        <w:tc>
          <w:tcPr>
            <w:tcW w:type="dxa" w:w="61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Checks the extracted facts against our vendor master and purchase orders, and runs the firm’s business rules: do the amounts add up, is the vendor active, does the PO match?</w:t>
            </w:r>
          </w:p>
        </w:tc>
      </w:tr>
      <w:tr>
        <w:tc>
          <w:tcPr>
            <w:tcW w:type="dxa" w:w="5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3</w:t>
            </w:r>
          </w:p>
        </w:tc>
        <w:tc>
          <w:tcPr>
            <w:tcW w:type="dxa" w:w="27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Four-Eye Review</w:t>
            </w:r>
          </w:p>
        </w:tc>
        <w:tc>
          <w:tcPr>
            <w:tcW w:type="dxa" w:w="61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Prepares a short, plain-language summary of the invoice and every check performed, and routes it to a person for approval. The pipeline stops here until a human decides.</w:t>
            </w:r>
          </w:p>
        </w:tc>
      </w:tr>
      <w:tr>
        <w:tc>
          <w:tcPr>
            <w:tcW w:type="dxa" w:w="5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4</w:t>
            </w:r>
          </w:p>
        </w:tc>
        <w:tc>
          <w:tcPr>
            <w:tcW w:type="dxa" w:w="2700"/>
            <w:shd w:fill="EEF2F7"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Post &amp; Integration</w:t>
            </w:r>
          </w:p>
        </w:tc>
        <w:tc>
          <w:tcPr>
            <w:tcW w:type="dxa" w:w="61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Only after approval: pushes the validated figures to Geneva through its API. The push is designed so that retries can never create a duplicate posting.</w:t>
            </w:r>
          </w:p>
        </w:tc>
      </w:tr>
      <w:tr>
        <w:tc>
          <w:tcPr>
            <w:tcW w:type="dxa" w:w="5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5</w:t>
            </w:r>
          </w:p>
        </w:tc>
        <w:tc>
          <w:tcPr>
            <w:tcW w:type="dxa" w:w="27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Control Pack &amp; Notification</w:t>
            </w:r>
          </w:p>
        </w:tc>
        <w:tc>
          <w:tcPr>
            <w:tcW w:type="dxa" w:w="61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Produces the NAV control pack — a complete record of what was read, checked, approved and posted — and sends the client a success confirmation or a rejection with the reason and required action.</w:t>
            </w:r>
          </w:p>
        </w:tc>
      </w:tr>
    </w:tbl>
    <w:p>
      <w:pPr>
        <w:spacing w:after="120"/>
      </w:pPr>
    </w:p>
    <w:p>
      <w:pPr>
        <w:spacing w:after="160" w:line="288"/>
      </w:pPr>
      <w:r>
        <w:rPr>
          <w:rFonts w:ascii="Calibri" w:cs="Calibri" w:eastAsia="Calibri" w:hAnsi="Calibri"/>
          <w:color w:val="222222"/>
          <w:sz w:val="22"/>
          <w:szCs w:val="22"/>
        </w:rPr>
        <w:t xml:space="preserve">Beneath the agents sit two supporting layers that mirror the architecture diagram: a data and memory layer (the original PDFs, the extracted structured data, the end-to-end audit log, and the agents’ working context), and a monitoring and governance layer (dashboards and KPIs, an exception queue for items needing attention, the audit trail, retention policies, and alerts).</w:t>
      </w:r>
    </w:p>
    <w:p>
      <w:pPr>
        <w:pStyle w:val="Heading1"/>
        <w:spacing w:after="200" w:before="360"/>
      </w:pPr>
      <w:r>
        <w:rPr>
          <w:rFonts w:ascii="Calibri" w:cs="Calibri" w:eastAsia="Calibri" w:hAnsi="Calibri"/>
          <w:b/>
          <w:bCs/>
          <w:color w:val="1B2A4A"/>
          <w:sz w:val="30"/>
          <w:szCs w:val="30"/>
        </w:rPr>
        <w:t xml:space="preserve">4. How People Stay in Control</w:t>
      </w:r>
    </w:p>
    <w:p>
      <w:pPr>
        <w:spacing w:after="160" w:line="288"/>
      </w:pPr>
      <w:r>
        <w:rPr>
          <w:rFonts w:ascii="Calibri" w:cs="Calibri" w:eastAsia="Calibri" w:hAnsi="Calibri"/>
          <w:color w:val="222222"/>
          <w:sz w:val="22"/>
          <w:szCs w:val="22"/>
        </w:rPr>
        <w:t xml:space="preserve">The single most important design decision is where the human sits. The pipeline is deliberately split into two halves, with a hard stop in the middle:</w:t>
      </w:r>
    </w:p>
    <w:p>
      <w:pPr>
        <w:spacing w:after="160" w:line="288"/>
      </w:pPr>
      <w:r>
        <w:rPr>
          <w:rFonts w:ascii="Calibri" w:cs="Calibri" w:eastAsia="Calibri" w:hAnsi="Calibri"/>
          <w:b/>
          <w:bCs/>
          <w:color w:val="1B2A4A"/>
          <w:sz w:val="22"/>
          <w:szCs w:val="22"/>
        </w:rPr>
        <w:t xml:space="preserve">Before the gate</w:t>
      </w:r>
      <w:r>
        <w:rPr>
          <w:rFonts w:ascii="Calibri" w:cs="Calibri" w:eastAsia="Calibri" w:hAnsi="Calibri"/>
          <w:color w:val="222222"/>
          <w:sz w:val="22"/>
          <w:szCs w:val="22"/>
        </w:rPr>
        <w:t xml:space="preserve">, the agents read and check the invoice and prepare the reviewer’s summary. Nothing they do at this stage moves money or touches Geneva.</w:t>
      </w:r>
    </w:p>
    <w:p>
      <w:pPr>
        <w:spacing w:after="160" w:line="288"/>
      </w:pPr>
      <w:r>
        <w:rPr>
          <w:rFonts w:ascii="Calibri" w:cs="Calibri" w:eastAsia="Calibri" w:hAnsi="Calibri"/>
          <w:b/>
          <w:bCs/>
          <w:color w:val="1B2A4A"/>
          <w:sz w:val="22"/>
          <w:szCs w:val="22"/>
        </w:rPr>
        <w:t xml:space="preserve">At the gate</w:t>
      </w:r>
      <w:r>
        <w:rPr>
          <w:rFonts w:ascii="Calibri" w:cs="Calibri" w:eastAsia="Calibri" w:hAnsi="Calibri"/>
          <w:color w:val="222222"/>
          <w:sz w:val="22"/>
          <w:szCs w:val="22"/>
        </w:rPr>
        <w:t xml:space="preserve">, a person reviews the summary — what the invoice says, what matched, what the rules flagged — and approves or rejects. The system enforces segregation of duties: the reviewer must be a different person from the submitter, and any attempt at self-approval is blocked and logged.</w:t>
      </w:r>
    </w:p>
    <w:p>
      <w:pPr>
        <w:spacing w:after="160" w:line="288"/>
      </w:pPr>
      <w:r>
        <w:rPr>
          <w:rFonts w:ascii="Calibri" w:cs="Calibri" w:eastAsia="Calibri" w:hAnsi="Calibri"/>
          <w:b/>
          <w:bCs/>
          <w:color w:val="1B2A4A"/>
          <w:sz w:val="22"/>
          <w:szCs w:val="22"/>
        </w:rPr>
        <w:t xml:space="preserve">After the gate</w:t>
      </w:r>
      <w:r>
        <w:rPr>
          <w:rFonts w:ascii="Calibri" w:cs="Calibri" w:eastAsia="Calibri" w:hAnsi="Calibri"/>
          <w:color w:val="222222"/>
          <w:sz w:val="22"/>
          <w:szCs w:val="22"/>
        </w:rPr>
        <w:t xml:space="preserve">, and only after an approval, the posting agent may push values to Geneva. This is enforced in the software itself: the posting step re-checks the approval before acting, a success message can never be sent to a client unless Geneva actually accepted the posting, and a rejection always results in the client being told why.</w:t>
      </w:r>
    </w:p>
    <w:p>
      <w:pPr>
        <w:spacing w:after="160" w:line="288"/>
      </w:pPr>
      <w:r>
        <w:rPr>
          <w:rFonts w:ascii="Calibri" w:cs="Calibri" w:eastAsia="Calibri" w:hAnsi="Calibri"/>
          <w:color w:val="222222"/>
          <w:sz w:val="22"/>
          <w:szCs w:val="22"/>
        </w:rPr>
        <w:t xml:space="preserve">A further safeguard concerns the figures themselves. At no point does the AI re-type monetary amounts from memory: once an amount is extracted and stored, every later step works from that stored record. This removes the possibility of the AI “hallucinating” a number into Geneva.</w:t>
      </w:r>
    </w:p>
    <w:p>
      <w:pPr>
        <w:pStyle w:val="Heading1"/>
        <w:spacing w:after="200" w:before="360"/>
      </w:pPr>
      <w:r>
        <w:rPr>
          <w:rFonts w:ascii="Calibri" w:cs="Calibri" w:eastAsia="Calibri" w:hAnsi="Calibri"/>
          <w:b/>
          <w:bCs/>
          <w:color w:val="1B2A4A"/>
          <w:sz w:val="30"/>
          <w:szCs w:val="30"/>
        </w:rPr>
        <w:t xml:space="preserve">5. Governance, Audit and Compliance</w:t>
      </w:r>
    </w:p>
    <w:p>
      <w:pPr>
        <w:pStyle w:val="ListParagraph"/>
        <w:numPr>
          <w:ilvl w:val="0"/>
          <w:numId w:val="2"/>
        </w:numPr>
        <w:spacing w:after="120" w:line="276"/>
      </w:pPr>
      <w:r>
        <w:rPr>
          <w:rFonts w:ascii="Calibri" w:cs="Calibri" w:eastAsia="Calibri" w:hAnsi="Calibri"/>
          <w:b/>
          <w:bCs/>
          <w:color w:val="222222"/>
          <w:sz w:val="22"/>
          <w:szCs w:val="22"/>
        </w:rPr>
        <w:t xml:space="preserve">Complete audit trail — </w:t>
      </w:r>
      <w:r>
        <w:rPr>
          <w:rFonts w:ascii="Calibri" w:cs="Calibri" w:eastAsia="Calibri" w:hAnsi="Calibri"/>
          <w:color w:val="222222"/>
          <w:sz w:val="22"/>
          <w:szCs w:val="22"/>
        </w:rPr>
        <w:t xml:space="preserve">Every action — each status change, each check performed by an agent, each human decision — is written to an audit log with who (or which agent) did what, and when. The trail is complete from arrival of the PDF to the client’s confirmation.</w:t>
      </w:r>
    </w:p>
    <w:p>
      <w:pPr>
        <w:pStyle w:val="ListParagraph"/>
        <w:numPr>
          <w:ilvl w:val="0"/>
          <w:numId w:val="2"/>
        </w:numPr>
        <w:spacing w:after="120" w:line="276"/>
      </w:pPr>
      <w:r>
        <w:rPr>
          <w:rFonts w:ascii="Calibri" w:cs="Calibri" w:eastAsia="Calibri" w:hAnsi="Calibri"/>
          <w:b/>
          <w:bCs/>
          <w:color w:val="222222"/>
          <w:sz w:val="22"/>
          <w:szCs w:val="22"/>
        </w:rPr>
        <w:t xml:space="preserve">Audit-ready control pack — </w:t>
      </w:r>
      <w:r>
        <w:rPr>
          <w:rFonts w:ascii="Calibri" w:cs="Calibri" w:eastAsia="Calibri" w:hAnsi="Calibri"/>
          <w:color w:val="222222"/>
          <w:sz w:val="22"/>
          <w:szCs w:val="22"/>
        </w:rPr>
        <w:t xml:space="preserve">The NAV control pack is generated automatically at the end of every successful posting. It records the extracted data, the confidence of the extraction, every rule finding, the identities of the submitter and the approver with timestamps, and the Geneva reference — an audit-ready document produced as a by-product of the process rather than assembled after the fact.</w:t>
      </w:r>
    </w:p>
    <w:p>
      <w:pPr>
        <w:pStyle w:val="ListParagraph"/>
        <w:numPr>
          <w:ilvl w:val="0"/>
          <w:numId w:val="2"/>
        </w:numPr>
        <w:spacing w:after="120" w:line="276"/>
      </w:pPr>
      <w:r>
        <w:rPr>
          <w:rFonts w:ascii="Calibri" w:cs="Calibri" w:eastAsia="Calibri" w:hAnsi="Calibri"/>
          <w:b/>
          <w:bCs/>
          <w:color w:val="222222"/>
          <w:sz w:val="22"/>
          <w:szCs w:val="22"/>
        </w:rPr>
        <w:t xml:space="preserve">Deterministic business rules — </w:t>
      </w:r>
      <w:r>
        <w:rPr>
          <w:rFonts w:ascii="Calibri" w:cs="Calibri" w:eastAsia="Calibri" w:hAnsi="Calibri"/>
          <w:color w:val="222222"/>
          <w:sz w:val="22"/>
          <w:szCs w:val="22"/>
        </w:rPr>
        <w:t xml:space="preserve">Financial checks (amount reconciliation, vendor status, purchase-order matching) are fixed rules in code. They behave identically for every invoice, can be tested and evidenced, and change only through our normal software release governance — never through a change in the AI’s “mood” or wording.</w:t>
      </w:r>
    </w:p>
    <w:p>
      <w:pPr>
        <w:pStyle w:val="ListParagraph"/>
        <w:numPr>
          <w:ilvl w:val="0"/>
          <w:numId w:val="2"/>
        </w:numPr>
        <w:spacing w:after="120" w:line="276"/>
      </w:pPr>
      <w:r>
        <w:rPr>
          <w:rFonts w:ascii="Calibri" w:cs="Calibri" w:eastAsia="Calibri" w:hAnsi="Calibri"/>
          <w:b/>
          <w:bCs/>
          <w:color w:val="222222"/>
          <w:sz w:val="22"/>
          <w:szCs w:val="22"/>
        </w:rPr>
        <w:t xml:space="preserve">Exceptions surface, they do not slip through — </w:t>
      </w:r>
      <w:r>
        <w:rPr>
          <w:rFonts w:ascii="Calibri" w:cs="Calibri" w:eastAsia="Calibri" w:hAnsi="Calibri"/>
          <w:color w:val="222222"/>
          <w:sz w:val="22"/>
          <w:szCs w:val="22"/>
        </w:rPr>
        <w:t xml:space="preserve">Invoices that fail checks, fall below a confidence threshold, or encounter errors are held for human attention rather than silently pushed through. Failure is always visible, never assumed away.</w:t>
      </w:r>
    </w:p>
    <w:p>
      <w:pPr>
        <w:pStyle w:val="ListParagraph"/>
        <w:numPr>
          <w:ilvl w:val="0"/>
          <w:numId w:val="2"/>
        </w:numPr>
        <w:spacing w:after="120" w:line="276"/>
      </w:pPr>
      <w:r>
        <w:rPr>
          <w:rFonts w:ascii="Calibri" w:cs="Calibri" w:eastAsia="Calibri" w:hAnsi="Calibri"/>
          <w:b/>
          <w:bCs/>
          <w:color w:val="222222"/>
          <w:sz w:val="22"/>
          <w:szCs w:val="22"/>
        </w:rPr>
        <w:t xml:space="preserve">Data stays within our perimeter — </w:t>
      </w:r>
      <w:r>
        <w:rPr>
          <w:rFonts w:ascii="Calibri" w:cs="Calibri" w:eastAsia="Calibri" w:hAnsi="Calibri"/>
          <w:color w:val="222222"/>
          <w:sz w:val="22"/>
          <w:szCs w:val="22"/>
        </w:rPr>
        <w:t xml:space="preserve">The AI service the agents use is configurable, so the firm can route it through an approved internal gateway or an in-house deployment, keeping data flows within our control and consistent with GDPR and data-retention policy.</w:t>
      </w:r>
    </w:p>
    <w:p>
      <w:pPr>
        <w:pStyle w:val="Heading1"/>
        <w:spacing w:after="200" w:before="360"/>
      </w:pPr>
      <w:r>
        <w:rPr>
          <w:rFonts w:ascii="Calibri" w:cs="Calibri" w:eastAsia="Calibri" w:hAnsi="Calibri"/>
          <w:b/>
          <w:bCs/>
          <w:color w:val="1B2A4A"/>
          <w:sz w:val="30"/>
          <w:szCs w:val="30"/>
        </w:rPr>
        <w:t xml:space="preserve">6. Expected Benefits</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900"/>
        <w:gridCol w:w="6460"/>
      </w:tblGrid>
      <w:tr>
        <w:trPr>
          <w:tblHeader/>
        </w:trPr>
        <w:tc>
          <w:tcPr>
            <w:tcW w:type="dxa" w:w="290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Benefit</w:t>
            </w:r>
          </w:p>
        </w:tc>
        <w:tc>
          <w:tcPr>
            <w:tcW w:type="dxa" w:w="646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What it means in practice</w:t>
            </w:r>
          </w:p>
        </w:tc>
      </w:tr>
      <w:tr>
        <w:tc>
          <w:tcPr>
            <w:tcW w:type="dxa" w:w="29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Faster turnaround (TAT)</w:t>
            </w:r>
          </w:p>
        </w:tc>
        <w:tc>
          <w:tcPr>
            <w:tcW w:type="dxa" w:w="6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Routine invoices are read, checked and ready for approval in minutes rather than queuing for manual processing.</w:t>
            </w:r>
          </w:p>
        </w:tc>
      </w:tr>
      <w:tr>
        <w:tc>
          <w:tcPr>
            <w:tcW w:type="dxa" w:w="2900"/>
            <w:shd w:fill="EEF2F7"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Higher accuracy</w:t>
            </w:r>
          </w:p>
        </w:tc>
        <w:tc>
          <w:tcPr>
            <w:tcW w:type="dxa" w:w="64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No re-keying between the PDF, the checks, Geneva and the control pack — the same validated figures flow through every step.</w:t>
            </w:r>
          </w:p>
        </w:tc>
      </w:tr>
      <w:tr>
        <w:tc>
          <w:tcPr>
            <w:tcW w:type="dxa" w:w="29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Consistent compliance</w:t>
            </w:r>
          </w:p>
        </w:tc>
        <w:tc>
          <w:tcPr>
            <w:tcW w:type="dxa" w:w="6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same rules and the same four-eye control apply to every invoice, every time, with evidence generated automatically.</w:t>
            </w:r>
          </w:p>
        </w:tc>
      </w:tr>
      <w:tr>
        <w:tc>
          <w:tcPr>
            <w:tcW w:type="dxa" w:w="2900"/>
            <w:shd w:fill="EEF2F7"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Real-time Geneva integration</w:t>
            </w:r>
          </w:p>
        </w:tc>
        <w:tc>
          <w:tcPr>
            <w:tcW w:type="dxa" w:w="64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Approved values reach Geneva immediately via its API, with duplicate-protection built in.</w:t>
            </w:r>
          </w:p>
        </w:tc>
      </w:tr>
      <w:tr>
        <w:tc>
          <w:tcPr>
            <w:tcW w:type="dxa" w:w="29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Better client experience</w:t>
            </w:r>
          </w:p>
        </w:tc>
        <w:tc>
          <w:tcPr>
            <w:tcW w:type="dxa" w:w="6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Clients receive a prompt confirmation, or a clear rejection with the reason and the action required.</w:t>
            </w:r>
          </w:p>
        </w:tc>
      </w:tr>
      <w:tr>
        <w:tc>
          <w:tcPr>
            <w:tcW w:type="dxa" w:w="2900"/>
            <w:shd w:fill="EEF2F7"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Staff time redirected</w:t>
            </w:r>
          </w:p>
        </w:tc>
        <w:tc>
          <w:tcPr>
            <w:tcW w:type="dxa" w:w="64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People move from typing and chasing to reviewing exceptions and handling the cases that genuinely need judgement.</w:t>
            </w:r>
          </w:p>
        </w:tc>
      </w:tr>
      <w:tr>
        <w:tc>
          <w:tcPr>
            <w:tcW w:type="dxa" w:w="2900"/>
            <w:shd w:fill="FFFFFF" w:val="clear"/>
            <w:tcMar>
              <w:top w:type="dxa" w:w="90"/>
              <w:left w:type="dxa" w:w="120"/>
              <w:bottom w:type="dxa" w:w="90"/>
              <w:right w:type="dxa" w:w="120"/>
            </w:tcMar>
          </w:tcPr>
          <w:p>
            <w:pPr>
              <w:spacing w:after="0" w:line="264"/>
            </w:pPr>
            <w:r>
              <w:rPr>
                <w:rFonts w:ascii="Calibri" w:cs="Calibri" w:eastAsia="Calibri" w:hAnsi="Calibri"/>
                <w:b/>
                <w:bCs/>
                <w:color w:val="222222"/>
                <w:sz w:val="21"/>
                <w:szCs w:val="21"/>
              </w:rPr>
              <w:t xml:space="preserve">Visibility</w:t>
            </w:r>
          </w:p>
        </w:tc>
        <w:tc>
          <w:tcPr>
            <w:tcW w:type="dxa" w:w="64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Dashboards show throughput, turnaround time and accuracy, and an exception queue shows exactly what needs attention now.</w:t>
            </w:r>
          </w:p>
        </w:tc>
      </w:tr>
    </w:tbl>
    <w:p>
      <w:pPr>
        <w:pStyle w:val="Heading1"/>
        <w:spacing w:after="200" w:before="360"/>
      </w:pPr>
      <w:r>
        <w:rPr>
          <w:rFonts w:ascii="Calibri" w:cs="Calibri" w:eastAsia="Calibri" w:hAnsi="Calibri"/>
          <w:b/>
          <w:bCs/>
          <w:color w:val="1B2A4A"/>
          <w:sz w:val="30"/>
          <w:szCs w:val="30"/>
        </w:rPr>
        <w:t xml:space="preserve">7. How We Will Measure Success</w:t>
      </w:r>
    </w:p>
    <w:p>
      <w:pPr>
        <w:pStyle w:val="ListParagraph"/>
        <w:numPr>
          <w:ilvl w:val="0"/>
          <w:numId w:val="2"/>
        </w:numPr>
        <w:spacing w:after="120" w:line="276"/>
      </w:pPr>
      <w:r>
        <w:rPr>
          <w:rFonts w:ascii="Calibri" w:cs="Calibri" w:eastAsia="Calibri" w:hAnsi="Calibri"/>
          <w:b/>
          <w:bCs/>
          <w:color w:val="222222"/>
          <w:sz w:val="22"/>
          <w:szCs w:val="22"/>
        </w:rPr>
        <w:t xml:space="preserve">Straight-through rate — </w:t>
      </w:r>
      <w:r>
        <w:rPr>
          <w:rFonts w:ascii="Calibri" w:cs="Calibri" w:eastAsia="Calibri" w:hAnsi="Calibri"/>
          <w:color w:val="222222"/>
          <w:sz w:val="22"/>
          <w:szCs w:val="22"/>
        </w:rPr>
        <w:t xml:space="preserve">the share of invoices that reach the reviewer with zero findings. This is the headline automation measure: the higher it is, the less manual effort each invoice needs.</w:t>
      </w:r>
    </w:p>
    <w:p>
      <w:pPr>
        <w:pStyle w:val="ListParagraph"/>
        <w:numPr>
          <w:ilvl w:val="0"/>
          <w:numId w:val="2"/>
        </w:numPr>
        <w:spacing w:after="120" w:line="276"/>
      </w:pPr>
      <w:r>
        <w:rPr>
          <w:rFonts w:ascii="Calibri" w:cs="Calibri" w:eastAsia="Calibri" w:hAnsi="Calibri"/>
          <w:b/>
          <w:bCs/>
          <w:color w:val="222222"/>
          <w:sz w:val="22"/>
          <w:szCs w:val="22"/>
        </w:rPr>
        <w:t xml:space="preserve">Turnaround time (TAT) — </w:t>
      </w:r>
      <w:r>
        <w:rPr>
          <w:rFonts w:ascii="Calibri" w:cs="Calibri" w:eastAsia="Calibri" w:hAnsi="Calibri"/>
          <w:color w:val="222222"/>
          <w:sz w:val="22"/>
          <w:szCs w:val="22"/>
        </w:rPr>
        <w:t xml:space="preserve">from arrival of the invoice to client confirmation, compared with today’s baseline.</w:t>
      </w:r>
    </w:p>
    <w:p>
      <w:pPr>
        <w:pStyle w:val="ListParagraph"/>
        <w:numPr>
          <w:ilvl w:val="0"/>
          <w:numId w:val="2"/>
        </w:numPr>
        <w:spacing w:after="120" w:line="276"/>
      </w:pPr>
      <w:r>
        <w:rPr>
          <w:rFonts w:ascii="Calibri" w:cs="Calibri" w:eastAsia="Calibri" w:hAnsi="Calibri"/>
          <w:b/>
          <w:bCs/>
          <w:color w:val="222222"/>
          <w:sz w:val="22"/>
          <w:szCs w:val="22"/>
        </w:rPr>
        <w:t xml:space="preserve">Accuracy — </w:t>
      </w:r>
      <w:r>
        <w:rPr>
          <w:rFonts w:ascii="Calibri" w:cs="Calibri" w:eastAsia="Calibri" w:hAnsi="Calibri"/>
          <w:color w:val="222222"/>
          <w:sz w:val="22"/>
          <w:szCs w:val="22"/>
        </w:rPr>
        <w:t xml:space="preserve">corrections required after approval, and any discrepancies between approved figures and Geneva postings (target: zero, by construction).</w:t>
      </w:r>
    </w:p>
    <w:p>
      <w:pPr>
        <w:pStyle w:val="ListParagraph"/>
        <w:numPr>
          <w:ilvl w:val="0"/>
          <w:numId w:val="2"/>
        </w:numPr>
        <w:spacing w:after="120" w:line="276"/>
      </w:pPr>
      <w:r>
        <w:rPr>
          <w:rFonts w:ascii="Calibri" w:cs="Calibri" w:eastAsia="Calibri" w:hAnsi="Calibri"/>
          <w:b/>
          <w:bCs/>
          <w:color w:val="222222"/>
          <w:sz w:val="22"/>
          <w:szCs w:val="22"/>
        </w:rPr>
        <w:t xml:space="preserve">Exception queue health — </w:t>
      </w:r>
      <w:r>
        <w:rPr>
          <w:rFonts w:ascii="Calibri" w:cs="Calibri" w:eastAsia="Calibri" w:hAnsi="Calibri"/>
          <w:color w:val="222222"/>
          <w:sz w:val="22"/>
          <w:szCs w:val="22"/>
        </w:rPr>
        <w:t xml:space="preserve">how long items wait for human review, and the reasons items are flagged — which tells us where to improve the rules or the extraction.</w:t>
      </w:r>
    </w:p>
    <w:p>
      <w:pPr>
        <w:pStyle w:val="ListParagraph"/>
        <w:numPr>
          <w:ilvl w:val="0"/>
          <w:numId w:val="2"/>
        </w:numPr>
        <w:spacing w:after="120" w:line="276"/>
      </w:pPr>
      <w:r>
        <w:rPr>
          <w:rFonts w:ascii="Calibri" w:cs="Calibri" w:eastAsia="Calibri" w:hAnsi="Calibri"/>
          <w:b/>
          <w:bCs/>
          <w:color w:val="222222"/>
          <w:sz w:val="22"/>
          <w:szCs w:val="22"/>
        </w:rPr>
        <w:t xml:space="preserve">Effort shift — </w:t>
      </w:r>
      <w:r>
        <w:rPr>
          <w:rFonts w:ascii="Calibri" w:cs="Calibri" w:eastAsia="Calibri" w:hAnsi="Calibri"/>
          <w:color w:val="222222"/>
          <w:sz w:val="22"/>
          <w:szCs w:val="22"/>
        </w:rPr>
        <w:t xml:space="preserve">reviewer time per invoice, and the proportion of team effort spent on exceptions versus routine processing.</w:t>
      </w:r>
    </w:p>
    <w:p>
      <w:pPr>
        <w:pStyle w:val="Heading1"/>
        <w:spacing w:after="200" w:before="360"/>
      </w:pPr>
      <w:r>
        <w:rPr>
          <w:rFonts w:ascii="Calibri" w:cs="Calibri" w:eastAsia="Calibri" w:hAnsi="Calibri"/>
          <w:b/>
          <w:bCs/>
          <w:color w:val="1B2A4A"/>
          <w:sz w:val="30"/>
          <w:szCs w:val="30"/>
        </w:rPr>
        <w:t xml:space="preserve">8. Key Risks and How the Design Addresses Them</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3400"/>
        <w:gridCol w:w="5960"/>
      </w:tblGrid>
      <w:tr>
        <w:trPr>
          <w:tblHeader/>
        </w:trPr>
        <w:tc>
          <w:tcPr>
            <w:tcW w:type="dxa" w:w="340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Risk</w:t>
            </w:r>
          </w:p>
        </w:tc>
        <w:tc>
          <w:tcPr>
            <w:tcW w:type="dxa" w:w="596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Mitigation built into the design</w:t>
            </w:r>
          </w:p>
        </w:tc>
      </w:tr>
      <w:tr>
        <w:tc>
          <w:tcPr>
            <w:tcW w:type="dxa" w:w="34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AI misreads an invoice</w:t>
            </w:r>
          </w:p>
        </w:tc>
        <w:tc>
          <w:tcPr>
            <w:tcW w:type="dxa" w:w="59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Every extraction carries a confidence score; low confidence is flagged to the reviewer. The rules independently verify that amounts reconcile, and a human sees every invoice before payment.</w:t>
            </w:r>
          </w:p>
        </w:tc>
      </w:tr>
      <w:tr>
        <w:tc>
          <w:tcPr>
            <w:tcW w:type="dxa" w:w="34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An unapproved payment reaches Geneva</w:t>
            </w:r>
          </w:p>
        </w:tc>
        <w:tc>
          <w:tcPr>
            <w:tcW w:type="dxa" w:w="59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Structurally impossible: the posting step re-verifies four-eye approval in code before acting, and the reviewer can never be the submitter.</w:t>
            </w:r>
          </w:p>
        </w:tc>
      </w:tr>
      <w:tr>
        <w:tc>
          <w:tcPr>
            <w:tcW w:type="dxa" w:w="34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 duplicate posting</w:t>
            </w:r>
          </w:p>
        </w:tc>
        <w:tc>
          <w:tcPr>
            <w:tcW w:type="dxa" w:w="59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Every submission and every Geneva push carries a unique idempotency key; retries return the original result instead of creating a second posting.</w:t>
            </w:r>
          </w:p>
        </w:tc>
      </w:tr>
      <w:tr>
        <w:tc>
          <w:tcPr>
            <w:tcW w:type="dxa" w:w="34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 client is told “paid” when nothing was paid</w:t>
            </w:r>
          </w:p>
        </w:tc>
        <w:tc>
          <w:tcPr>
            <w:tcW w:type="dxa" w:w="59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system blocks any success confirmation unless Geneva has actually returned a posting reference.</w:t>
            </w:r>
          </w:p>
        </w:tc>
      </w:tr>
      <w:tr>
        <w:tc>
          <w:tcPr>
            <w:tcW w:type="dxa" w:w="34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Over-reliance on the AI vendor</w:t>
            </w:r>
          </w:p>
        </w:tc>
        <w:tc>
          <w:tcPr>
            <w:tcW w:type="dxa" w:w="59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AI endpoint is a configuration setting; we can switch to an approved gateway or internal model without changing the system.</w:t>
            </w:r>
          </w:p>
        </w:tc>
      </w:tr>
      <w:tr>
        <w:tc>
          <w:tcPr>
            <w:tcW w:type="dxa" w:w="34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Loss of oversight as volumes grow</w:t>
            </w:r>
          </w:p>
        </w:tc>
        <w:tc>
          <w:tcPr>
            <w:tcW w:type="dxa" w:w="59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Dashboards, the exception queue, alerts and the audit trail are part of the design, not an afterthought.</w:t>
            </w:r>
          </w:p>
        </w:tc>
      </w:tr>
    </w:tbl>
    <w:p>
      <w:pPr>
        <w:pStyle w:val="Heading1"/>
        <w:spacing w:after="200" w:before="360"/>
      </w:pPr>
      <w:r>
        <w:rPr>
          <w:rFonts w:ascii="Calibri" w:cs="Calibri" w:eastAsia="Calibri" w:hAnsi="Calibri"/>
          <w:b/>
          <w:bCs/>
          <w:color w:val="1B2A4A"/>
          <w:sz w:val="30"/>
          <w:szCs w:val="30"/>
        </w:rPr>
        <w:t xml:space="preserve">9. What This System Is Not</w:t>
      </w:r>
    </w:p>
    <w:p>
      <w:pPr>
        <w:pStyle w:val="ListParagraph"/>
        <w:numPr>
          <w:ilvl w:val="0"/>
          <w:numId w:val="2"/>
        </w:numPr>
        <w:spacing w:after="120" w:line="276"/>
      </w:pPr>
      <w:r>
        <w:rPr>
          <w:rFonts w:ascii="Calibri" w:cs="Calibri" w:eastAsia="Calibri" w:hAnsi="Calibri"/>
          <w:color w:val="222222"/>
          <w:sz w:val="22"/>
          <w:szCs w:val="22"/>
        </w:rPr>
        <w:t xml:space="preserve">It does not approve payments. Approval remains a human decision, evidenced and logged.</w:t>
      </w:r>
    </w:p>
    <w:p>
      <w:pPr>
        <w:pStyle w:val="ListParagraph"/>
        <w:numPr>
          <w:ilvl w:val="0"/>
          <w:numId w:val="2"/>
        </w:numPr>
        <w:spacing w:after="120" w:line="276"/>
      </w:pPr>
      <w:r>
        <w:rPr>
          <w:rFonts w:ascii="Calibri" w:cs="Calibri" w:eastAsia="Calibri" w:hAnsi="Calibri"/>
          <w:color w:val="222222"/>
          <w:sz w:val="22"/>
          <w:szCs w:val="22"/>
        </w:rPr>
        <w:t xml:space="preserve">It does not change our business rules. It applies the rules we define, consistently.</w:t>
      </w:r>
    </w:p>
    <w:p>
      <w:pPr>
        <w:pStyle w:val="ListParagraph"/>
        <w:numPr>
          <w:ilvl w:val="0"/>
          <w:numId w:val="2"/>
        </w:numPr>
        <w:spacing w:after="120" w:line="276"/>
      </w:pPr>
      <w:r>
        <w:rPr>
          <w:rFonts w:ascii="Calibri" w:cs="Calibri" w:eastAsia="Calibri" w:hAnsi="Calibri"/>
          <w:color w:val="222222"/>
          <w:sz w:val="22"/>
          <w:szCs w:val="22"/>
        </w:rPr>
        <w:t xml:space="preserve">It does not replace the operations team. It removes the re-keying and paperwork so the team’s time goes to exceptions, judgement and clients.</w:t>
      </w:r>
    </w:p>
    <w:p>
      <w:pPr>
        <w:pStyle w:val="ListParagraph"/>
        <w:numPr>
          <w:ilvl w:val="0"/>
          <w:numId w:val="2"/>
        </w:numPr>
        <w:spacing w:after="120" w:line="276"/>
      </w:pPr>
      <w:r>
        <w:rPr>
          <w:rFonts w:ascii="Calibri" w:cs="Calibri" w:eastAsia="Calibri" w:hAnsi="Calibri"/>
          <w:color w:val="222222"/>
          <w:sz w:val="22"/>
          <w:szCs w:val="22"/>
        </w:rPr>
        <w:t xml:space="preserve">It is not a black box. Every step it takes is recorded, and the reviewer sees a plain-language account of what was found before deciding.</w:t>
      </w:r>
    </w:p>
    <w:p>
      <w:pPr>
        <w:pStyle w:val="Heading1"/>
        <w:spacing w:after="200" w:before="360"/>
      </w:pPr>
      <w:r>
        <w:rPr>
          <w:rFonts w:ascii="Calibri" w:cs="Calibri" w:eastAsia="Calibri" w:hAnsi="Calibri"/>
          <w:b/>
          <w:bCs/>
          <w:color w:val="1B2A4A"/>
          <w:sz w:val="30"/>
          <w:szCs w:val="30"/>
        </w:rPr>
        <w:t xml:space="preserve">10. Suggested Next Steps</w:t>
      </w:r>
    </w:p>
    <w:p>
      <w:pPr>
        <w:pStyle w:val="ListParagraph"/>
        <w:numPr>
          <w:ilvl w:val="0"/>
          <w:numId w:val="2"/>
        </w:numPr>
        <w:spacing w:after="120" w:line="276"/>
      </w:pPr>
      <w:r>
        <w:rPr>
          <w:rFonts w:ascii="Calibri" w:cs="Calibri" w:eastAsia="Calibri" w:hAnsi="Calibri"/>
          <w:b/>
          <w:bCs/>
          <w:color w:val="222222"/>
          <w:sz w:val="22"/>
          <w:szCs w:val="22"/>
        </w:rPr>
        <w:t xml:space="preserve">Pilot — </w:t>
      </w:r>
      <w:r>
        <w:rPr>
          <w:rFonts w:ascii="Calibri" w:cs="Calibri" w:eastAsia="Calibri" w:hAnsi="Calibri"/>
          <w:color w:val="222222"/>
          <w:sz w:val="22"/>
          <w:szCs w:val="22"/>
        </w:rPr>
        <w:t xml:space="preserve">Agree the pilot scope: one invoice type and one client group, processed in parallel with the current manual process for comparison.</w:t>
      </w:r>
    </w:p>
    <w:p>
      <w:pPr>
        <w:pStyle w:val="ListParagraph"/>
        <w:numPr>
          <w:ilvl w:val="0"/>
          <w:numId w:val="2"/>
        </w:numPr>
        <w:spacing w:after="120" w:line="276"/>
      </w:pPr>
      <w:r>
        <w:rPr>
          <w:rFonts w:ascii="Calibri" w:cs="Calibri" w:eastAsia="Calibri" w:hAnsi="Calibri"/>
          <w:b/>
          <w:bCs/>
          <w:color w:val="222222"/>
          <w:sz w:val="22"/>
          <w:szCs w:val="22"/>
        </w:rPr>
        <w:t xml:space="preserve">Rules sign-off — </w:t>
      </w:r>
      <w:r>
        <w:rPr>
          <w:rFonts w:ascii="Calibri" w:cs="Calibri" w:eastAsia="Calibri" w:hAnsi="Calibri"/>
          <w:color w:val="222222"/>
          <w:sz w:val="22"/>
          <w:szCs w:val="22"/>
        </w:rPr>
        <w:t xml:space="preserve">Confirm the business rules and thresholds (for example, the extraction-confidence level below which invoices are flagged) with operations and risk.</w:t>
      </w:r>
    </w:p>
    <w:p>
      <w:pPr>
        <w:pStyle w:val="ListParagraph"/>
        <w:numPr>
          <w:ilvl w:val="0"/>
          <w:numId w:val="2"/>
        </w:numPr>
        <w:spacing w:after="120" w:line="276"/>
      </w:pPr>
      <w:r>
        <w:rPr>
          <w:rFonts w:ascii="Calibri" w:cs="Calibri" w:eastAsia="Calibri" w:hAnsi="Calibri"/>
          <w:b/>
          <w:bCs/>
          <w:color w:val="222222"/>
          <w:sz w:val="22"/>
          <w:szCs w:val="22"/>
        </w:rPr>
        <w:t xml:space="preserve">Control review — </w:t>
      </w:r>
      <w:r>
        <w:rPr>
          <w:rFonts w:ascii="Calibri" w:cs="Calibri" w:eastAsia="Calibri" w:hAnsi="Calibri"/>
          <w:color w:val="222222"/>
          <w:sz w:val="22"/>
          <w:szCs w:val="22"/>
        </w:rPr>
        <w:t xml:space="preserve">Review the four-eye control, audit trail and data flows with Compliance and, where relevant, Internal Audit.</w:t>
      </w:r>
    </w:p>
    <w:p>
      <w:pPr>
        <w:pStyle w:val="ListParagraph"/>
        <w:numPr>
          <w:ilvl w:val="0"/>
          <w:numId w:val="2"/>
        </w:numPr>
        <w:spacing w:after="120" w:line="276"/>
      </w:pPr>
      <w:r>
        <w:rPr>
          <w:rFonts w:ascii="Calibri" w:cs="Calibri" w:eastAsia="Calibri" w:hAnsi="Calibri"/>
          <w:b/>
          <w:bCs/>
          <w:color w:val="222222"/>
          <w:sz w:val="22"/>
          <w:szCs w:val="22"/>
        </w:rPr>
        <w:t xml:space="preserve">Baseline metrics — </w:t>
      </w:r>
      <w:r>
        <w:rPr>
          <w:rFonts w:ascii="Calibri" w:cs="Calibri" w:eastAsia="Calibri" w:hAnsi="Calibri"/>
          <w:color w:val="222222"/>
          <w:sz w:val="22"/>
          <w:szCs w:val="22"/>
        </w:rPr>
        <w:t xml:space="preserve">Baseline today’s turnaround time, error rate and effort per invoice so the pilot’s results can be measured against them.</w:t>
      </w:r>
    </w:p>
    <w:p>
      <w:pPr>
        <w:spacing w:after="120"/>
      </w:pPr>
    </w:p>
    <w:p>
      <w:pPr>
        <w:spacing w:after="160" w:line="288"/>
      </w:pPr>
      <w:r>
        <w:rPr>
          <w:rFonts w:ascii="Calibri" w:cs="Calibri" w:eastAsia="Calibri" w:hAnsi="Calibri"/>
          <w:i/>
          <w:iCs/>
          <w:color w:val="595959"/>
          <w:sz w:val="22"/>
          <w:szCs w:val="22"/>
        </w:rPr>
        <w:t xml:space="preserve">A technical companion document (architecture, integration and security detail) is available for engineering and IT risk stakeholders on request.</w:t>
      </w:r>
    </w:p>
    <w:p>
      <w:pPr>
        <w:pStyle w:val="Heading1"/>
        <w:spacing w:after="200" w:before="360"/>
      </w:pPr>
      <w:r>
        <w:rPr>
          <w:rFonts w:ascii="Calibri" w:cs="Calibri" w:eastAsia="Calibri" w:hAnsi="Calibri"/>
          <w:b/>
          <w:bCs/>
          <w:color w:val="1B2A4A"/>
          <w:sz w:val="30"/>
          <w:szCs w:val="30"/>
        </w:rPr>
        <w:t xml:space="preserve">Appendix — Glossary</w:t>
      </w:r>
    </w:p>
    <w:tbl>
      <w:tblPr>
        <w:tblW w:type="dxa" w:w="9360"/>
        <w:tblBorders>
          <w:top w:val="single" w:color="C9D2DE" w:sz="4"/>
          <w:left w:val="single" w:color="C9D2DE" w:sz="4"/>
          <w:bottom w:val="single" w:color="C9D2DE" w:sz="4"/>
          <w:right w:val="single" w:color="C9D2DE" w:sz="4"/>
          <w:insideH w:val="single" w:color="C9D2DE" w:sz="4"/>
          <w:insideV w:val="single" w:color="C9D2DE" w:sz="4"/>
        </w:tblBorders>
      </w:tblPr>
      <w:tblGrid>
        <w:gridCol w:w="2700"/>
        <w:gridCol w:w="6660"/>
      </w:tblGrid>
      <w:tr>
        <w:trPr>
          <w:tblHeader/>
        </w:trPr>
        <w:tc>
          <w:tcPr>
            <w:tcW w:type="dxa" w:w="270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Term</w:t>
            </w:r>
          </w:p>
        </w:tc>
        <w:tc>
          <w:tcPr>
            <w:tcW w:type="dxa" w:w="6660"/>
            <w:shd w:fill="1B2A4A"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Meaning</w:t>
            </w:r>
          </w:p>
        </w:tc>
      </w:tr>
      <w:tr>
        <w:tc>
          <w:tcPr>
            <w:tcW w:type="dxa" w:w="27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AI agent</w:t>
            </w:r>
          </w:p>
        </w:tc>
        <w:tc>
          <w:tcPr>
            <w:tcW w:type="dxa" w:w="66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 software worker powered by a language model, given one narrow job and a limited set of approved tools.</w:t>
            </w:r>
          </w:p>
        </w:tc>
      </w:tr>
      <w:tr>
        <w:tc>
          <w:tcPr>
            <w:tcW w:type="dxa" w:w="27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LLM</w:t>
            </w:r>
          </w:p>
        </w:tc>
        <w:tc>
          <w:tcPr>
            <w:tcW w:type="dxa" w:w="66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Large language model — the AI technology that reads and summarises the invoice text.</w:t>
            </w:r>
          </w:p>
        </w:tc>
      </w:tr>
      <w:tr>
        <w:tc>
          <w:tcPr>
            <w:tcW w:type="dxa" w:w="27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Four-eye review</w:t>
            </w:r>
          </w:p>
        </w:tc>
        <w:tc>
          <w:tcPr>
            <w:tcW w:type="dxa" w:w="66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 control requiring a second, different person to approve before an action proceeds.</w:t>
            </w:r>
          </w:p>
        </w:tc>
      </w:tr>
      <w:tr>
        <w:tc>
          <w:tcPr>
            <w:tcW w:type="dxa" w:w="27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Geneva</w:t>
            </w:r>
          </w:p>
        </w:tc>
        <w:tc>
          <w:tcPr>
            <w:tcW w:type="dxa" w:w="66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downstream portfolio accounting system that receives the validated invoice values via its API.</w:t>
            </w:r>
          </w:p>
        </w:tc>
      </w:tr>
      <w:tr>
        <w:tc>
          <w:tcPr>
            <w:tcW w:type="dxa" w:w="27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NAV control pack</w:t>
            </w:r>
          </w:p>
        </w:tc>
        <w:tc>
          <w:tcPr>
            <w:tcW w:type="dxa" w:w="66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documentation pack evidencing what was processed, checked, approved and posted, supporting the NAV process.</w:t>
            </w:r>
          </w:p>
        </w:tc>
      </w:tr>
      <w:tr>
        <w:tc>
          <w:tcPr>
            <w:tcW w:type="dxa" w:w="27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Idempotency key</w:t>
            </w:r>
          </w:p>
        </w:tc>
        <w:tc>
          <w:tcPr>
            <w:tcW w:type="dxa" w:w="66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 unique tag on each request that guarantees retries cannot create duplicates.</w:t>
            </w:r>
          </w:p>
        </w:tc>
      </w:tr>
      <w:tr>
        <w:tc>
          <w:tcPr>
            <w:tcW w:type="dxa" w:w="270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Straight-through rate</w:t>
            </w:r>
          </w:p>
        </w:tc>
        <w:tc>
          <w:tcPr>
            <w:tcW w:type="dxa" w:w="6660"/>
            <w:shd w:fill="FFFFFF"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proportion of invoices processed with no findings requiring extra attention.</w:t>
            </w:r>
          </w:p>
        </w:tc>
      </w:tr>
      <w:tr>
        <w:tc>
          <w:tcPr>
            <w:tcW w:type="dxa" w:w="270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Audit trail</w:t>
            </w:r>
          </w:p>
        </w:tc>
        <w:tc>
          <w:tcPr>
            <w:tcW w:type="dxa" w:w="6660"/>
            <w:shd w:fill="EEF2F7" w:val="clear"/>
            <w:tcMar>
              <w:top w:type="dxa" w:w="90"/>
              <w:left w:type="dxa" w:w="120"/>
              <w:bottom w:type="dxa" w:w="90"/>
              <w:right w:type="dxa" w:w="120"/>
            </w:tcMar>
          </w:tcPr>
          <w:p>
            <w:pPr>
              <w:spacing w:after="0" w:line="264"/>
            </w:pPr>
            <w:r>
              <w:rPr>
                <w:rFonts w:ascii="Calibri" w:cs="Calibri" w:eastAsia="Calibri" w:hAnsi="Calibri"/>
                <w:b w:val="false"/>
                <w:bCs w:val="false"/>
                <w:color w:val="222222"/>
                <w:sz w:val="21"/>
                <w:szCs w:val="21"/>
              </w:rPr>
              <w:t xml:space="preserve">The tamper-evident record of every action taken, by whom or by which agent, and when.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2026-07-05T19:19:54.992Z</dcterms:created>
  <dcterms:modified xsi:type="dcterms:W3CDTF">2026-07-05T19:19:54.992Z</dcterms:modified>
</cp:coreProperties>
</file>

<file path=docProps/custom.xml><?xml version="1.0" encoding="utf-8"?>
<Properties xmlns="http://schemas.openxmlformats.org/officeDocument/2006/custom-properties" xmlns:vt="http://schemas.openxmlformats.org/officeDocument/2006/docPropsVTypes"/>
</file>