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d45bd4660fd4f4e0707610adb36ff1d3dab4ca"/>
    <w:p>
      <w:pPr>
        <w:pStyle w:val="Heading1"/>
      </w:pPr>
      <w:r>
        <w:t xml:space="preserve">Predicting Emission Energy in Quasi-2D Perovskite LEDs from Spacer Chemistry and Precursor Stoichiometry: When Machine Learning Works, and When It Does Not</w:t>
      </w:r>
    </w:p>
    <w:p>
      <w:pPr>
        <w:pStyle w:val="FirstParagraph"/>
      </w:pPr>
      <w:r>
        <w:rPr>
          <w:b/>
          <w:bCs/>
        </w:rPr>
        <w:t xml:space="preserve">Authors:</w:t>
      </w:r>
      <w:r>
        <w:t xml:space="preserve"> </w:t>
      </w:r>
      <w:r>
        <w:t xml:space="preserve">[Author Names]</w:t>
      </w:r>
      <w:r>
        <w:t xml:space="preserve">1,*</w:t>
      </w:r>
      <w:r>
        <w:br/>
      </w:r>
      <w:r>
        <w:rPr>
          <w:b/>
          <w:bCs/>
        </w:rPr>
        <w:t xml:space="preserve">Affiliations:</w:t>
      </w:r>
      <w:r>
        <w:t xml:space="preserve"> </w:t>
      </w:r>
      <w:r>
        <w:t xml:space="preserve">1</w:t>
      </w:r>
      <w:r>
        <w:t xml:space="preserve">[Institution, Address]</w:t>
      </w:r>
      <w:r>
        <w:br/>
      </w:r>
      <w:r>
        <w:rPr>
          <w:b/>
          <w:bCs/>
        </w:rPr>
        <w:t xml:space="preserve">Corresponding author:</w:t>
      </w:r>
      <w:r>
        <w:t xml:space="preserve"> </w:t>
      </w:r>
      <w:r>
        <w:rPr>
          <w:i/>
          <w:iCs/>
        </w:rPr>
        <w:t xml:space="preserve">[email]</w:t>
      </w:r>
    </w:p>
    <w:p>
      <w:r>
        <w:pict>
          <v:rect style="width:0;height:1.5pt" o:hralign="center" o:hrstd="t" o:hr="t"/>
        </w:pict>
      </w:r>
    </w:p>
    <w:bookmarkStart w:id="9" w:name="abstract"/>
    <w:p>
      <w:pPr>
        <w:pStyle w:val="Heading2"/>
      </w:pPr>
      <w:r>
        <w:t xml:space="preserve">Abstract</w:t>
      </w:r>
    </w:p>
    <w:p>
      <w:pPr>
        <w:pStyle w:val="FirstParagraph"/>
      </w:pPr>
      <w:r>
        <w:t xml:space="preserve">Quasi-two-dimensional (quasi-2D) halide perovskites remain difficult to design by intuition alone: the same nominal spacer and halide recipe can emit anywhere from the violet to the near-infrared depending on</w:t>
      </w:r>
      <w:r>
        <w:t xml:space="preserve"> </w:t>
      </w:r>
      <w:r>
        <w:rPr>
          <w:i/>
          <w:iCs/>
        </w:rPr>
        <w:t xml:space="preserve">n</w:t>
      </w:r>
      <w:r>
        <w:t xml:space="preserve">-phase distribution, dielectric confinement, and processing history. We compiled 283 literature PeLED entries (photon energy 1.53–3.06 eV; peak wavelength 405–810 nm), converted organic spacer names to SMILES, and calculated 217 RDKit two-dimensional descriptors for each primary and secondary ligand after adding explicit hydrogens to the molecular graph. Together with precursor stoichiometry and solvent identity, this produced 462 input columns per record. Removing 173 near-duplicate descriptors (|</w:t>
      </w:r>
      <w:r>
        <w:rPr>
          <w:i/>
          <w:iCs/>
        </w:rPr>
        <w:t xml:space="preserve">r</w:t>
      </w:r>
      <w:r>
        <w:t xml:space="preserve">| &gt; 0.90) and applying two feature-selection strategies on a stratified 80/20 split (226 training, 57 test) gave contrasting results. Recursive feature elimination with cross-validation (RFECV) kept 31 variables—the cross-validated optimum—whereas a random-forest importance filter (SelectFromModel, threshold = mean importance) retained only 13. Hyperparameter-tuned support vector regression on the smaller set performed best on the held-out literature data (</w:t>
      </w:r>
      <w:r>
        <w:rPr>
          <w:i/>
          <w:iCs/>
        </w:rPr>
        <w:t xml:space="preserve">R</w:t>
      </w:r>
      <w:r>
        <w:t xml:space="preserve">2</w:t>
      </w:r>
      <w:r>
        <w:t xml:space="preserve"> </w:t>
      </w:r>
      <w:r>
        <w:t xml:space="preserve">= 0.953, RMSE = 0.074 eV, MAE = 0.048 eV), clearly outperforming the 31-feature RFECV model (</w:t>
      </w:r>
      <w:r>
        <w:rPr>
          <w:i/>
          <w:iCs/>
        </w:rPr>
        <w:t xml:space="preserve">R</w:t>
      </w:r>
      <w:r>
        <w:t xml:space="preserve">2</w:t>
      </w:r>
      <w:r>
        <w:t xml:space="preserve"> </w:t>
      </w:r>
      <w:r>
        <w:t xml:space="preserve">= 0.920, RMSE = 0.097 eV) despite the latter’s lower cross-validation error. The retained descriptors are chemically recognizable: primary-spacer halide identity, spacer-to-lead ratio, lead halide and A-site fractions, DMF as solvent, and a small number of topological indices for primary and secondary spacers. SHAP analysis is consistent with confinement-dominated colour tuning. By contrast, models trained on 266 literature EQE values—including HTL, ETL, and additive labels—plateau near</w:t>
      </w:r>
      <w:r>
        <w:t xml:space="preserve"> </w:t>
      </w:r>
      <w:r>
        <w:rPr>
          <w:i/>
          <w:iCs/>
        </w:rPr>
        <w:t xml:space="preserve">R</w:t>
      </w:r>
      <w:r>
        <w:t xml:space="preserve">2</w:t>
      </w:r>
      <w:r>
        <w:t xml:space="preserve"> </w:t>
      </w:r>
      <w:r>
        <w:t xml:space="preserve">≈ 0.51–0.57, which we attribute to fabrication and measurement details that are not captured in compositional tables. Wavelength-based regressions are reported in the Supporting Information. The work separates what literature ML can reliably guide (emission colour from chemistry) from what still requires standardized device fabrication data (efficiency).</w:t>
      </w:r>
    </w:p>
    <w:p>
      <w:pPr>
        <w:pStyle w:val="BodyText"/>
      </w:pPr>
      <w:r>
        <w:rPr>
          <w:b/>
          <w:bCs/>
        </w:rPr>
        <w:t xml:space="preserve">Keywords:</w:t>
      </w:r>
      <w:r>
        <w:t xml:space="preserve"> </w:t>
      </w:r>
      <w:r>
        <w:t xml:space="preserve">quasi-2D perovskite, PeLED, photon energy, machine learning, RDKit, feature selection, SHAP, EQE</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Ruddlesden–Popper quasi-2D perovskites, L</w:t>
      </w:r>
      <w:r>
        <w:t xml:space="preserve">2</w:t>
      </w:r>
      <w:r>
        <w:t xml:space="preserve">A</w:t>
      </w:r>
      <w:r>
        <w:rPr>
          <w:i/>
          <w:iCs/>
        </w:rPr>
        <w:t xml:space="preserve">n</w:t>
      </w:r>
      <w:r>
        <w:t xml:space="preserve">−1</w:t>
      </w:r>
      <w:r>
        <w:t xml:space="preserve">Pb</w:t>
      </w:r>
      <w:r>
        <w:rPr>
          <w:i/>
          <w:iCs/>
        </w:rPr>
        <w:t xml:space="preserve">n</w:t>
      </w:r>
      <w:r>
        <w:t xml:space="preserve">X</w:t>
      </w:r>
      <w:r>
        <w:t xml:space="preserve">3</w:t>
      </w:r>
      <w:r>
        <w:rPr>
          <w:i/>
          <w:iCs/>
        </w:rPr>
        <w:t xml:space="preserve">n</w:t>
      </w:r>
      <w:r>
        <w:t xml:space="preserve">+1</w:t>
      </w:r>
      <w:r>
        <w:t xml:space="preserve">, have become a practical route to tunable electroluminescence in metal-halide light-emitting diodes (PeLEDs). Quantum and dielectric confinement in the inorganic sheets, together with the dielectric mismatch at organic–inorganic interfaces, shift the emission energy as the nominal layer thickness</w:t>
      </w:r>
      <w:r>
        <w:t xml:space="preserve"> </w:t>
      </w:r>
      <w:r>
        <w:rPr>
          <w:i/>
          <w:iCs/>
        </w:rPr>
        <w:t xml:space="preserve">n</w:t>
      </w:r>
      <w:r>
        <w:t xml:space="preserve"> </w:t>
      </w:r>
      <w:r>
        <w:t xml:space="preserve">and the halide composition change.[1–3] In the laboratory, colour is usually adjusted by swapping the ammonium spacer, tuning the halide ratio between the organic and inorganic sublattices, varying the spacer-to-lead stoichiometry, and choosing solvents that alter crystallization. The parameter space is large, and the outcome is not always predictable from stoichiometry alone because quasi-2D films are rarely single-phase: lower-</w:t>
      </w:r>
      <w:r>
        <w:rPr>
          <w:i/>
          <w:iCs/>
        </w:rPr>
        <w:t xml:space="preserve">n</w:t>
      </w:r>
      <w:r>
        <w:t xml:space="preserve"> </w:t>
      </w:r>
      <w:r>
        <w:t xml:space="preserve">domains, three-dimensional-like impurity phases, and disorder broadening all influence which transition dominates the electroluminescence spectrum.[3,4]</w:t>
      </w:r>
    </w:p>
    <w:p>
      <w:pPr>
        <w:pStyle w:val="BodyText"/>
      </w:pPr>
      <w:r>
        <w:t xml:space="preserve">The underlying photophysics is now reasonably well mapped. Straus and Kagan, among others, have summarized how dielectric confinement, exciton binding energy, and phonon coupling in two-dimensional hybrid perovskites govern optical response as</w:t>
      </w:r>
      <w:r>
        <w:t xml:space="preserve"> </w:t>
      </w:r>
      <w:r>
        <w:rPr>
          <w:i/>
          <w:iCs/>
        </w:rPr>
        <w:t xml:space="preserve">n</w:t>
      </w:r>
      <w:r>
        <w:t xml:space="preserve"> </w:t>
      </w:r>
      <w:r>
        <w:t xml:space="preserve">and composition change.[4] Even so, translating that understanding into a quantitative recipe—“if I replace PEA with BA and add 10% chloride on the spacer, where will the EL peak land?”—remains awkward. Stoichiometric</w:t>
      </w:r>
      <w:r>
        <w:t xml:space="preserve"> </w:t>
      </w:r>
      <w:r>
        <w:rPr>
          <w:i/>
          <w:iCs/>
        </w:rPr>
        <w:t xml:space="preserve">n</w:t>
      </w:r>
      <w:r>
        <w:t xml:space="preserve"> </w:t>
      </w:r>
      <w:r>
        <w:t xml:space="preserve">in the precursor does not always match the</w:t>
      </w:r>
      <w:r>
        <w:t xml:space="preserve"> </w:t>
      </w:r>
      <w:r>
        <w:rPr>
          <w:i/>
          <w:iCs/>
        </w:rPr>
        <w:t xml:space="preserve">n</w:t>
      </w:r>
      <w:r>
        <w:t xml:space="preserve"> </w:t>
      </w:r>
      <w:r>
        <w:t xml:space="preserve">distribution in the annealed film, and the phase that emits most strongly is not necessarily the phase present in highest fraction. Those are familiar frustrations to anyone who has compared XRD or transient absorption with the EL peak from the same wafer.</w:t>
      </w:r>
    </w:p>
    <w:p>
      <w:pPr>
        <w:pStyle w:val="BodyText"/>
      </w:pPr>
      <w:r>
        <w:t xml:space="preserve">Most groups still explore this space experimentally, one ink at a time. That approach is understandable—film quality and device stack matter—but it scales poorly as the library of bulky amines, diamines, and mixed-cation recipes grows. Machine learning (ML) has therefore been adopted in perovskite photovoltaics and, more recently, in LED and emitter work, to extract patterns from accumulated reports.[6–8] Reviews of the field emphasize a repeatable workflow: curate experimental tables, convert structures to numerical descriptors, prune correlated features, train regressors or classifiers, and interpret the result with tools such as SHAP (SHapley Additive exPlanations).[6,7] Prior work on quasi-2D systems showed that photon energy can be estimated from precursor composition with random-forest root-mean-square errors near 0.05 eV when the database is chemically focused and the descriptors are chosen carefully.[9] Complementary ML studies have targeted organic-spacer libraries in two-dimensional perovskites, emphasizing that ligand choice is a first-class design variable alongside stoichiometry.[5] Separately, deep-learning classification of PeLED additives reached high accuracy only when the dataset was built from a single device architecture and supplemented with in-house experiments.[10] Those precedents matter for how we should read literature ML: models are most trustworthy when inputs and labels refer to the same experimental contract, and least trustworthy when they silently average over incompatible fabrication routes.</w:t>
      </w:r>
    </w:p>
    <w:p>
      <w:pPr>
        <w:pStyle w:val="BodyText"/>
      </w:pPr>
      <w:r>
        <w:t xml:space="preserve">PeLED efficiency has risen sharply—external quantum efficiencies above 20% are now common for three-dimensional and optimized low-dimensional systems[11]—but efficiency is not predicted by the same variables that set emission colour. EQE depends on radiative yield, charge balance, and outcoupling, all of which are sensitive to film morphology and interface quality. Zhang et al. illustrated the data problem for device-targeted ML: even with careful molecular featurization, PeLED performance labels from literature are sparse and heterogeneous compared with the volume of data available in organic LED or photovoltaic ML campaigns.[10]</w:t>
      </w:r>
    </w:p>
    <w:p>
      <w:pPr>
        <w:pStyle w:val="BodyText"/>
      </w:pPr>
      <w:r>
        <w:t xml:space="preserve">Our objective is narrower and, we believe, more useful for materials chemists who formulate quasi-2D inks. We ask two questions. First, can literature data spanning the full visible range—not only blue or deep-green emitters—be used to predict photon energy from spacer structures and precursor tables with descriptors that a chemist can interpret? Second, under the same curation rules, can EQE be predicted with comparable confidence from the columns normally reported in papers? We deliberately treat emission energy as a materials-led property and EQE as a device-led property, because the latter depends on morphology, interfaces, and measurement conditions that are rarely digitized in full.</w:t>
      </w:r>
    </w:p>
    <w:p>
      <w:pPr>
        <w:pStyle w:val="BodyText"/>
      </w:pPr>
      <w:r>
        <w:t xml:space="preserve">We built the analysis around hydrogen-complete RDKit structures (</w:t>
      </w:r>
      <w:r>
        <w:rPr>
          <w:rStyle w:val="VerbatimChar"/>
        </w:rPr>
        <w:t xml:space="preserve">Chem.AddHs</w:t>
      </w:r>
      <w:r>
        <w:t xml:space="preserve">), 217 two-dimensional descriptors per spacer, and two feature-selection workflows compared under identical hyperparameter tuning. The main result is a thirteen-descriptor model selected by a random-forest importance gate; a thirty-one-descriptor RFECV set is retained as a controlled comparison because cross-validation favours more variables than our held-out test fold can support. Analyses without added hydrogens or without hyperparameter tuning are summarized in the Supporting Information; they do not alter the conclusions below.</w:t>
      </w:r>
    </w:p>
    <w:p>
      <w:r>
        <w:pict>
          <v:rect style="width:0;height:1.5pt" o:hralign="center" o:hrstd="t" o:hr="t"/>
        </w:pict>
      </w:r>
    </w:p>
    <w:bookmarkEnd w:id="10"/>
    <w:bookmarkStart w:id="19" w:name="X8b37e659aafaf80b68fb5a2534ed16dd2b9540d"/>
    <w:p>
      <w:pPr>
        <w:pStyle w:val="Heading2"/>
      </w:pPr>
      <w:r>
        <w:t xml:space="preserve">2. Results and Discussion</w:t>
      </w:r>
    </w:p>
    <w:bookmarkStart w:id="11" w:name="Xf6591849b368432939b010ed72826b2e36e18ba"/>
    <w:p>
      <w:pPr>
        <w:pStyle w:val="Heading3"/>
      </w:pPr>
      <w:r>
        <w:t xml:space="preserve">2.1. Literature dataset and emission range</w:t>
      </w:r>
    </w:p>
    <w:p>
      <w:pPr>
        <w:pStyle w:val="FirstParagraph"/>
      </w:pPr>
      <w:r>
        <w:t xml:space="preserve">We extracted 283 PeLED records from a curated workbook (</w:t>
      </w:r>
      <w:r>
        <w:rPr>
          <w:rStyle w:val="VerbatimChar"/>
        </w:rPr>
        <w:t xml:space="preserve">SF_DATA_EMISSION_PEAK_NEW</w:t>
      </w:r>
      <w:r>
        <w:t xml:space="preserve">; see SI Section S1 for column definitions and spectral histograms). Photon energies lie between 1.53 and 3.06 eV; reported peak wavelengths span 405–810 nm. The distribution is weighted toward green–yellow emission (about 69% of entries between 480 and 550 nm), but violet, red, and near-infrared reports are also represented. This breadth matters for how the model should be used: it is not a “blue PeLED” predictor trained on a narrow halide window, but a regression across the visible spectrum of published quasi-2D devices.</w:t>
      </w:r>
    </w:p>
    <w:p>
      <w:pPr>
        <w:pStyle w:val="BodyText"/>
      </w:pPr>
      <w:r>
        <w:t xml:space="preserve">Forty-six entries (~16%) use mixed primary and secondary spacers. We preserved that heterogeneity in the train–test split by stratifying on</w:t>
      </w:r>
      <w:r>
        <w:t xml:space="preserve"> </w:t>
      </w:r>
      <w:r>
        <w:rPr>
          <w:rStyle w:val="VerbatimChar"/>
        </w:rPr>
        <w:t xml:space="preserve">IS_MIXED_SPACERS_SPACER</w:t>
      </w:r>
      <w:r>
        <w:t xml:space="preserve"> </w:t>
      </w:r>
      <w:r>
        <w:t xml:space="preserve">(80/20 split → 226 training, 57 test). Mixed-spacer formulations are chemically important rather than a nuisance category: the secondary ligand changes interlayer spacing, can introduce additional hydrogen-bonding networks, and in our experience often shifts which</w:t>
      </w:r>
      <w:r>
        <w:t xml:space="preserve"> </w:t>
      </w:r>
      <w:r>
        <w:rPr>
          <w:i/>
          <w:iCs/>
        </w:rPr>
        <w:t xml:space="preserve">n</w:t>
      </w:r>
      <w:r>
        <w:t xml:space="preserve"> </w:t>
      </w:r>
      <w:r>
        <w:t xml:space="preserve">domain dominates emission without changing the nominal spacer-to-lead ratio in the spreadsheet.</w:t>
      </w:r>
    </w:p>
    <w:p>
      <w:pPr>
        <w:pStyle w:val="BodyText"/>
      </w:pPr>
      <w:r>
        <w:t xml:space="preserve">Each record was featurized as follows. Primary and secondary spacer IUPAC names were converted to SMILES, then to 217 RDKit two-dimensional descriptors per ligand after adding explicit hydrogens (30 unique SMILES in the corpus). Compositional flags and stoichiometric ratios (halide identity on the spacer, PbX</w:t>
      </w:r>
      <w:r>
        <w:t xml:space="preserve">2</w:t>
      </w:r>
      <w:r>
        <w:t xml:space="preserve"> </w:t>
      </w:r>
      <w:r>
        <w:t xml:space="preserve">inventory, A-site fractions, spacer-to-lead ratio, and related fields) were retained from the workbook. Solvent was one-hot encoded. The resulting matrix has 462 columns per row. Pairwise Pearson correlation on the training fold removes 173 redundant columns (|</w:t>
      </w:r>
      <w:r>
        <w:rPr>
          <w:i/>
          <w:iCs/>
        </w:rPr>
        <w:t xml:space="preserve">r</w:t>
      </w:r>
      <w:r>
        <w:t xml:space="preserve">| &gt; 0.90), leaving 289 candidates for selection. No test-fold information was used in pruning or selection.</w:t>
      </w:r>
    </w:p>
    <w:p>
      <w:pPr>
        <w:pStyle w:val="BodyText"/>
      </w:pPr>
      <w:r>
        <w:rPr>
          <w:b/>
          <w:bCs/>
        </w:rPr>
        <w:t xml:space="preserve">Figure 1</w:t>
      </w:r>
      <w:r>
        <w:t xml:space="preserve"> </w:t>
      </w:r>
      <w:r>
        <w:t xml:space="preserve">(to be inserted): Workflow from literature extraction to predicted</w:t>
      </w:r>
      <w:r>
        <w:t xml:space="preserve"> </w:t>
      </w:r>
      <w:r>
        <w:rPr>
          <w:i/>
          <w:iCs/>
        </w:rPr>
        <w:t xml:space="preserve">E</w:t>
      </w:r>
      <w:r>
        <w:t xml:space="preserve">ph</w:t>
      </w:r>
      <w:r>
        <w:t xml:space="preserve">—SMILES conversion, AddHs descriptor calculation, correlation pruning, parallel RFECV (31 features) and SelectFromModel (13 features), tuned regressors, and SHAP readout.</w:t>
      </w:r>
    </w:p>
    <w:p>
      <w:r>
        <w:pict>
          <v:rect style="width:0;height:1.5pt" o:hralign="center" o:hrstd="t" o:hr="t"/>
        </w:pict>
      </w:r>
    </w:p>
    <w:bookmarkEnd w:id="11"/>
    <w:bookmarkStart w:id="17" w:name="X577ad8b70f157f06b52bd060450126e19a14a18"/>
    <w:p>
      <w:pPr>
        <w:pStyle w:val="Heading3"/>
      </w:pPr>
      <w:r>
        <w:t xml:space="preserve">2.2. Photon energy (</w:t>
      </w:r>
      <w:r>
        <w:rPr>
          <w:i/>
          <w:iCs/>
        </w:rPr>
        <w:t xml:space="preserve">E</w:t>
      </w:r>
      <w:r>
        <w:t xml:space="preserve">ph</w:t>
      </w:r>
      <w:r>
        <w:t xml:space="preserve">): feature selection and model performance</w:t>
      </w:r>
    </w:p>
    <w:bookmarkStart w:id="12" w:name="hyperparameter-tuning"/>
    <w:p>
      <w:pPr>
        <w:pStyle w:val="Heading4"/>
      </w:pPr>
      <w:r>
        <w:t xml:space="preserve">Hyperparameter tuning</w:t>
      </w:r>
    </w:p>
    <w:p>
      <w:pPr>
        <w:pStyle w:val="FirstParagraph"/>
      </w:pPr>
      <w:r>
        <w:t xml:space="preserve">All models discussed in this section were tuned with randomized search (15 trials, five-fold cross-validation on the training set) before evaluation on the 57-record test fold. We adopted this protocol after comparing against untuned runs on the same splits: tree ensembles in particular assigned high importance to descriptor dimensions that described only one or two literature outliers, giving excellent training fit but poor transfer. For emission energy, where the underlying chemistry signal is relatively strong, tuning improved support-vector regression (SVR) and Gaussian process regression (GPR) most clearly on the reduced thirteen-variable matrix (SI Table S7: untuned GPR on the thirty-one-variable RFECV set reaches only</w:t>
      </w:r>
      <w:r>
        <w:t xml:space="preserve"> </w:t>
      </w:r>
      <w:r>
        <w:rPr>
          <w:i/>
          <w:iCs/>
        </w:rPr>
        <w:t xml:space="preserve">R</w:t>
      </w:r>
      <w:r>
        <w:t xml:space="preserve">2</w:t>
      </w:r>
      <w:r>
        <w:t xml:space="preserve"> </w:t>
      </w:r>
      <w:r>
        <w:t xml:space="preserve">= 0.877 on the test fold, versus</w:t>
      </w:r>
      <w:r>
        <w:t xml:space="preserve"> </w:t>
      </w:r>
      <w:r>
        <w:rPr>
          <w:i/>
          <w:iCs/>
        </w:rPr>
        <w:t xml:space="preserve">R</w:t>
      </w:r>
      <w:r>
        <w:t xml:space="preserve">2</w:t>
      </w:r>
      <w:r>
        <w:t xml:space="preserve"> </w:t>
      </w:r>
      <w:r>
        <w:t xml:space="preserve">= 0.920 for the tuned GPR on the same features).</w:t>
      </w:r>
    </w:p>
    <w:bookmarkEnd w:id="12"/>
    <w:bookmarkStart w:id="13" w:name="X72fa1f0d8120b19f4768572eff1e11ffe84e964"/>
    <w:p>
      <w:pPr>
        <w:pStyle w:val="Heading4"/>
      </w:pPr>
      <w:r>
        <w:t xml:space="preserve">Thirty-one variables from RFECV versus thirteen from SelectFromModel</w:t>
      </w:r>
    </w:p>
    <w:p>
      <w:pPr>
        <w:pStyle w:val="FirstParagraph"/>
      </w:pPr>
      <w:r>
        <w:t xml:space="preserve">Feature selection was applied only to the 289 columns surviving correlation filtering, using training data alone.</w:t>
      </w:r>
    </w:p>
    <w:p>
      <w:pPr>
        <w:pStyle w:val="BodyText"/>
      </w:pPr>
      <w:r>
        <w:t xml:space="preserve">For RFECV, a random-forest regressor (</w:t>
      </w:r>
      <w:r>
        <w:rPr>
          <w:rStyle w:val="VerbatimChar"/>
        </w:rPr>
        <w:t xml:space="preserve">max_depth</w:t>
      </w:r>
      <w:r>
        <w:t xml:space="preserve"> </w:t>
      </w:r>
      <w:r>
        <w:t xml:space="preserve">= 5,</w:t>
      </w:r>
      <w:r>
        <w:t xml:space="preserve"> </w:t>
      </w:r>
      <w:r>
        <w:rPr>
          <w:rStyle w:val="VerbatimChar"/>
        </w:rPr>
        <w:t xml:space="preserve">min_samples_leaf</w:t>
      </w:r>
      <w:r>
        <w:t xml:space="preserve"> </w:t>
      </w:r>
      <w:r>
        <w:t xml:space="preserve">= 6) was wrapped in five-fold stratified cross-validation with sample weights balanced toward under-represented mixed-spacer profiles. Features were removed recursively until cross-validated RMSE of</w:t>
      </w:r>
      <w:r>
        <w:t xml:space="preserve"> </w:t>
      </w:r>
      <w:r>
        <w:rPr>
          <w:i/>
          <w:iCs/>
        </w:rPr>
        <w:t xml:space="preserve">E</w:t>
      </w:r>
      <w:r>
        <w:t xml:space="preserve">ph</w:t>
      </w:r>
      <w:r>
        <w:t xml:space="preserve"> </w:t>
      </w:r>
      <w:r>
        <w:t xml:space="preserve">reached a minimum. That minimum occurred at</w:t>
      </w:r>
      <w:r>
        <w:t xml:space="preserve"> </w:t>
      </w:r>
      <w:r>
        <w:rPr>
          <w:b/>
          <w:bCs/>
        </w:rPr>
        <w:t xml:space="preserve">31</w:t>
      </w:r>
      <w:r>
        <w:t xml:space="preserve"> </w:t>
      </w:r>
      <w:r>
        <w:t xml:space="preserve">retained variables. By the usual logic of RFECV, this is the “optimal” dimensionality for interpolation within the training partition.</w:t>
      </w:r>
    </w:p>
    <w:p>
      <w:pPr>
        <w:pStyle w:val="BodyText"/>
      </w:pPr>
      <w:r>
        <w:t xml:space="preserve">For SelectFromModel, a separate random forest was fit once on all 289 survivors. Scikit-learn’s</w:t>
      </w:r>
      <w:r>
        <w:t xml:space="preserve"> </w:t>
      </w:r>
      <w:r>
        <w:rPr>
          <w:rStyle w:val="VerbatimChar"/>
        </w:rPr>
        <w:t xml:space="preserve">SelectFromModel</w:t>
      </w:r>
      <w:r>
        <w:t xml:space="preserve"> </w:t>
      </w:r>
      <w:r>
        <w:t xml:space="preserve">with</w:t>
      </w:r>
      <w:r>
        <w:t xml:space="preserve"> </w:t>
      </w:r>
      <w:r>
        <w:rPr>
          <w:rStyle w:val="VerbatimChar"/>
        </w:rPr>
        <w:t xml:space="preserve">threshold='mean'</w:t>
      </w:r>
      <w:r>
        <w:t xml:space="preserve"> </w:t>
      </w:r>
      <w:r>
        <w:t xml:space="preserve">keeps only descriptors whose impurity-based importance exceeds the forest mean. That aggressive gate retained</w:t>
      </w:r>
      <w:r>
        <w:t xml:space="preserve"> </w:t>
      </w:r>
      <w:r>
        <w:rPr>
          <w:b/>
          <w:bCs/>
        </w:rPr>
        <w:t xml:space="preserve">13</w:t>
      </w:r>
      <w:r>
        <w:t xml:space="preserve"> </w:t>
      </w:r>
      <w:r>
        <w:t xml:space="preserve">variables.</w:t>
      </w:r>
    </w:p>
    <w:p>
      <w:pPr>
        <w:pStyle w:val="BodyText"/>
      </w:pPr>
      <w:r>
        <w:t xml:space="preserve">The difference is not cosmetic. With 226 training points, the sample-to-feature ratio</w:t>
      </w:r>
      <w:r>
        <w:t xml:space="preserve"> </w:t>
      </w:r>
      <w:r>
        <w:rPr>
          <w:i/>
          <w:iCs/>
        </w:rPr>
        <w:t xml:space="preserve">N</w:t>
      </w:r>
      <w:r>
        <w:t xml:space="preserve">/</w:t>
      </w:r>
      <w:r>
        <w:rPr>
          <w:i/>
          <w:iCs/>
        </w:rPr>
        <w:t xml:space="preserve">p</w:t>
      </w:r>
      <w:r>
        <w:t xml:space="preserve"> </w:t>
      </w:r>
      <w:r>
        <w:t xml:space="preserve">is 17.4 for the small set but only 7.3 for the RFECV set. Literature databases are not drawn from a single experimental design; they mix synthesis routes, measurement types (electroluminescence vs. photoluminescence peaks), and reporting conventions. In that setting, descriptors that explain a few training points but do not generalize—high-dimensional BCUT partitions and redundant EState surface areas are typical examples—inflate cross-validated performance while degrading held-out error. We see exactly that pattern here.</w:t>
      </w:r>
    </w:p>
    <w:p>
      <w:pPr>
        <w:pStyle w:val="BodyText"/>
      </w:pPr>
      <w:r>
        <w:t xml:space="preserve">Test-set metrics for tuned models are summarized in Table 1. The best model is SVR with a radial-basis-function kernel on the thirteen-variable matrix.</w:t>
      </w:r>
    </w:p>
    <w:p>
      <w:pPr>
        <w:pStyle w:val="BodyText"/>
      </w:pPr>
      <w:r>
        <w:rPr>
          <w:b/>
          <w:bCs/>
        </w:rPr>
        <w:t xml:space="preserve">Table 1.</w:t>
      </w:r>
      <w:r>
        <w:t xml:space="preserve"> </w:t>
      </w:r>
      <w:r>
        <w:t xml:space="preserve">Held-out test performance for photon energy (eV), AddHs descriptors, hyperparameter-tuned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 selection</w:t>
            </w:r>
          </w:p>
        </w:tc>
        <w:tc>
          <w:tcPr/>
          <w:p>
            <w:pPr>
              <w:pStyle w:val="Compact"/>
            </w:pPr>
            <w:r>
              <w:rPr>
                <w:i/>
                <w:iCs/>
              </w:rPr>
              <w:t xml:space="preserve">p</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SelectFromModel</w:t>
            </w:r>
          </w:p>
        </w:tc>
        <w:tc>
          <w:tcPr/>
          <w:p>
            <w:pPr>
              <w:pStyle w:val="Compact"/>
            </w:pPr>
            <w:r>
              <w:t xml:space="preserve">13</w:t>
            </w:r>
          </w:p>
        </w:tc>
        <w:tc>
          <w:tcPr/>
          <w:p>
            <w:pPr>
              <w:pStyle w:val="Compact"/>
            </w:pPr>
            <w:r>
              <w:rPr>
                <w:b/>
                <w:bCs/>
              </w:rPr>
              <w:t xml:space="preserve">SVR (RBF)</w:t>
            </w:r>
          </w:p>
        </w:tc>
        <w:tc>
          <w:tcPr/>
          <w:p>
            <w:pPr>
              <w:pStyle w:val="Compact"/>
            </w:pPr>
            <w:r>
              <w:rPr>
                <w:b/>
                <w:bCs/>
              </w:rPr>
              <w:t xml:space="preserve">0.953</w:t>
            </w:r>
          </w:p>
        </w:tc>
        <w:tc>
          <w:tcPr/>
          <w:p>
            <w:pPr>
              <w:pStyle w:val="Compact"/>
            </w:pPr>
            <w:r>
              <w:rPr>
                <w:b/>
                <w:bCs/>
              </w:rPr>
              <w:t xml:space="preserve">0.074</w:t>
            </w:r>
          </w:p>
        </w:tc>
        <w:tc>
          <w:tcPr/>
          <w:p>
            <w:pPr>
              <w:pStyle w:val="Compact"/>
            </w:pPr>
            <w:r>
              <w:rPr>
                <w:b/>
                <w:bCs/>
              </w:rPr>
              <w:t xml:space="preserve">0.048</w:t>
            </w:r>
          </w:p>
        </w:tc>
      </w:tr>
      <w:tr>
        <w:tc>
          <w:tcPr/>
          <w:p>
            <w:pPr>
              <w:pStyle w:val="Compact"/>
            </w:pPr>
            <w:r>
              <w:t xml:space="preserve">SelectFromModel</w:t>
            </w:r>
          </w:p>
        </w:tc>
        <w:tc>
          <w:tcPr/>
          <w:p>
            <w:pPr>
              <w:pStyle w:val="Compact"/>
            </w:pPr>
            <w:r>
              <w:t xml:space="preserve">13</w:t>
            </w:r>
          </w:p>
        </w:tc>
        <w:tc>
          <w:tcPr/>
          <w:p>
            <w:pPr>
              <w:pStyle w:val="Compact"/>
            </w:pPr>
            <w:r>
              <w:t xml:space="preserve">Gaussian process</w:t>
            </w:r>
          </w:p>
        </w:tc>
        <w:tc>
          <w:tcPr/>
          <w:p>
            <w:pPr>
              <w:pStyle w:val="Compact"/>
            </w:pPr>
            <w:r>
              <w:t xml:space="preserve">0.920</w:t>
            </w:r>
          </w:p>
        </w:tc>
        <w:tc>
          <w:tcPr/>
          <w:p>
            <w:pPr>
              <w:pStyle w:val="Compact"/>
            </w:pPr>
            <w:r>
              <w:t xml:space="preserve">0.096</w:t>
            </w:r>
          </w:p>
        </w:tc>
        <w:tc>
          <w:tcPr/>
          <w:p>
            <w:pPr>
              <w:pStyle w:val="Compact"/>
            </w:pPr>
            <w:r>
              <w:t xml:space="preserve">0.061</w:t>
            </w:r>
          </w:p>
        </w:tc>
      </w:tr>
      <w:tr>
        <w:tc>
          <w:tcPr/>
          <w:p>
            <w:pPr>
              <w:pStyle w:val="Compact"/>
            </w:pPr>
            <w:r>
              <w:t xml:space="preserve">SelectFromModel</w:t>
            </w:r>
          </w:p>
        </w:tc>
        <w:tc>
          <w:tcPr/>
          <w:p>
            <w:pPr>
              <w:pStyle w:val="Compact"/>
            </w:pPr>
            <w:r>
              <w:t xml:space="preserve">13</w:t>
            </w:r>
          </w:p>
        </w:tc>
        <w:tc>
          <w:tcPr/>
          <w:p>
            <w:pPr>
              <w:pStyle w:val="Compact"/>
            </w:pPr>
            <w:r>
              <w:t xml:space="preserve">CatBoost</w:t>
            </w:r>
          </w:p>
        </w:tc>
        <w:tc>
          <w:tcPr/>
          <w:p>
            <w:pPr>
              <w:pStyle w:val="Compact"/>
            </w:pPr>
            <w:r>
              <w:t xml:space="preserve">0.875</w:t>
            </w:r>
          </w:p>
        </w:tc>
        <w:tc>
          <w:tcPr/>
          <w:p>
            <w:pPr>
              <w:pStyle w:val="Compact"/>
            </w:pPr>
            <w:r>
              <w:t xml:space="preserve">0.121</w:t>
            </w:r>
          </w:p>
        </w:tc>
        <w:tc>
          <w:tcPr/>
          <w:p>
            <w:pPr>
              <w:pStyle w:val="Compact"/>
            </w:pPr>
            <w:r>
              <w:t xml:space="preserve">0.063</w:t>
            </w:r>
          </w:p>
        </w:tc>
      </w:tr>
      <w:tr>
        <w:tc>
          <w:tcPr/>
          <w:p>
            <w:pPr>
              <w:pStyle w:val="Compact"/>
            </w:pPr>
            <w:r>
              <w:t xml:space="preserve">RFECV</w:t>
            </w:r>
          </w:p>
        </w:tc>
        <w:tc>
          <w:tcPr/>
          <w:p>
            <w:pPr>
              <w:pStyle w:val="Compact"/>
            </w:pPr>
            <w:r>
              <w:t xml:space="preserve">31</w:t>
            </w:r>
          </w:p>
        </w:tc>
        <w:tc>
          <w:tcPr/>
          <w:p>
            <w:pPr>
              <w:pStyle w:val="Compact"/>
            </w:pPr>
            <w:r>
              <w:t xml:space="preserve">SVR (RBF)</w:t>
            </w:r>
          </w:p>
        </w:tc>
        <w:tc>
          <w:tcPr/>
          <w:p>
            <w:pPr>
              <w:pStyle w:val="Compact"/>
            </w:pPr>
            <w:r>
              <w:t xml:space="preserve">0.920</w:t>
            </w:r>
          </w:p>
        </w:tc>
        <w:tc>
          <w:tcPr/>
          <w:p>
            <w:pPr>
              <w:pStyle w:val="Compact"/>
            </w:pPr>
            <w:r>
              <w:t xml:space="preserve">0.097</w:t>
            </w:r>
          </w:p>
        </w:tc>
        <w:tc>
          <w:tcPr/>
          <w:p>
            <w:pPr>
              <w:pStyle w:val="Compact"/>
            </w:pPr>
            <w:r>
              <w:t xml:space="preserve">0.054</w:t>
            </w:r>
          </w:p>
        </w:tc>
      </w:tr>
      <w:tr>
        <w:tc>
          <w:tcPr/>
          <w:p>
            <w:pPr>
              <w:pStyle w:val="Compact"/>
            </w:pPr>
            <w:r>
              <w:t xml:space="preserve">RFECV</w:t>
            </w:r>
          </w:p>
        </w:tc>
        <w:tc>
          <w:tcPr/>
          <w:p>
            <w:pPr>
              <w:pStyle w:val="Compact"/>
            </w:pPr>
            <w:r>
              <w:t xml:space="preserve">31</w:t>
            </w:r>
          </w:p>
        </w:tc>
        <w:tc>
          <w:tcPr/>
          <w:p>
            <w:pPr>
              <w:pStyle w:val="Compact"/>
            </w:pPr>
            <w:r>
              <w:t xml:space="preserve">Gaussian process</w:t>
            </w:r>
          </w:p>
        </w:tc>
        <w:tc>
          <w:tcPr/>
          <w:p>
            <w:pPr>
              <w:pStyle w:val="Compact"/>
            </w:pPr>
            <w:r>
              <w:t xml:space="preserve">0.877</w:t>
            </w:r>
          </w:p>
        </w:tc>
        <w:tc>
          <w:tcPr/>
          <w:p>
            <w:pPr>
              <w:pStyle w:val="Compact"/>
            </w:pPr>
            <w:r>
              <w:t xml:space="preserve">0.120</w:t>
            </w:r>
          </w:p>
        </w:tc>
        <w:tc>
          <w:tcPr/>
          <w:p>
            <w:pPr>
              <w:pStyle w:val="Compact"/>
            </w:pPr>
            <w:r>
              <w:t xml:space="preserve">0.073</w:t>
            </w:r>
          </w:p>
        </w:tc>
      </w:tr>
      <w:tr>
        <w:tc>
          <w:tcPr/>
          <w:p>
            <w:pPr>
              <w:pStyle w:val="Compact"/>
            </w:pPr>
            <w:r>
              <w:t xml:space="preserve">RFECV</w:t>
            </w:r>
          </w:p>
        </w:tc>
        <w:tc>
          <w:tcPr/>
          <w:p>
            <w:pPr>
              <w:pStyle w:val="Compact"/>
            </w:pPr>
            <w:r>
              <w:t xml:space="preserve">31</w:t>
            </w:r>
          </w:p>
        </w:tc>
        <w:tc>
          <w:tcPr/>
          <w:p>
            <w:pPr>
              <w:pStyle w:val="Compact"/>
            </w:pPr>
            <w:r>
              <w:t xml:space="preserve">CatBoost</w:t>
            </w:r>
          </w:p>
        </w:tc>
        <w:tc>
          <w:tcPr/>
          <w:p>
            <w:pPr>
              <w:pStyle w:val="Compact"/>
            </w:pPr>
            <w:r>
              <w:t xml:space="preserve">0.862</w:t>
            </w:r>
          </w:p>
        </w:tc>
        <w:tc>
          <w:tcPr/>
          <w:p>
            <w:pPr>
              <w:pStyle w:val="Compact"/>
            </w:pPr>
            <w:r>
              <w:t xml:space="preserve">0.127</w:t>
            </w:r>
          </w:p>
        </w:tc>
        <w:tc>
          <w:tcPr/>
          <w:p>
            <w:pPr>
              <w:pStyle w:val="Compact"/>
            </w:pPr>
            <w:r>
              <w:t xml:space="preserve">0.066</w:t>
            </w:r>
          </w:p>
        </w:tc>
      </w:tr>
    </w:tbl>
    <w:p>
      <w:pPr>
        <w:pStyle w:val="BodyText"/>
      </w:pPr>
      <w:r>
        <w:t xml:space="preserve">The SVR test RMSE falls from 0.097 eV (thirty-one features) to 0.074 eV (thirteen features), and</w:t>
      </w:r>
      <w:r>
        <w:t xml:space="preserve"> </w:t>
      </w:r>
      <w:r>
        <w:rPr>
          <w:i/>
          <w:iCs/>
        </w:rPr>
        <w:t xml:space="preserve">R</w:t>
      </w:r>
      <w:r>
        <w:t xml:space="preserve">2</w:t>
      </w:r>
      <w:r>
        <w:t xml:space="preserve"> </w:t>
      </w:r>
      <w:r>
        <w:t xml:space="preserve">rises from 0.920 to 0.953. To put 0.074 eV in laboratory terms: for a green emitter near 2.3 eV (~540 nm), that error corresponds to roughly 15–20 nm if one converts through</w:t>
      </w:r>
      <w:r>
        <w:t xml:space="preserve"> </w:t>
      </w:r>
      <w:r>
        <w:rPr>
          <w:i/>
          <w:iCs/>
        </w:rPr>
        <w:t xml:space="preserve">E</w:t>
      </w:r>
      <w:r>
        <w:t xml:space="preserve"> </w:t>
      </w:r>
      <w:r>
        <w:t xml:space="preserve">= 1240/λ—small enough to discriminate many spacer edits in a screening table, though not enough to replace measurement before patenting a narrow formulation. RFECV remains useful: it identifies a superset of relevant chemistry and supplies the error-versus-dimensionality curve in</w:t>
      </w:r>
      <w:r>
        <w:t xml:space="preserve"> </w:t>
      </w:r>
      <w:r>
        <w:rPr>
          <w:b/>
          <w:bCs/>
        </w:rPr>
        <w:t xml:space="preserve">Figure 2</w:t>
      </w:r>
      <w:r>
        <w:t xml:space="preserve">. For prediction on this literature corpus, however, the thirteen-variable model is the one we would deploy.</w:t>
      </w:r>
    </w:p>
    <w:p>
      <w:pPr>
        <w:pStyle w:val="BodyText"/>
      </w:pPr>
      <w:r>
        <w:rPr>
          <w:b/>
          <w:bCs/>
        </w:rPr>
        <w:t xml:space="preserve">Figure 2</w:t>
      </w:r>
      <w:r>
        <w:t xml:space="preserve"> </w:t>
      </w:r>
      <w:r>
        <w:t xml:space="preserve">(to be inserted): RFECV cross-validation RMSE versus number of retained features; vertical marker at 31.</w:t>
      </w:r>
    </w:p>
    <w:p>
      <w:pPr>
        <w:pStyle w:val="BodyText"/>
      </w:pPr>
      <w:r>
        <w:rPr>
          <w:b/>
          <w:bCs/>
        </w:rPr>
        <w:t xml:space="preserve">Figure 3</w:t>
      </w:r>
      <w:r>
        <w:t xml:space="preserve"> </w:t>
      </w:r>
      <w:r>
        <w:t xml:space="preserve">(to be inserted): Correlation heatmap for the 13 retained training features.</w:t>
      </w:r>
    </w:p>
    <w:p>
      <w:pPr>
        <w:pStyle w:val="BodyText"/>
      </w:pPr>
      <w:r>
        <w:rPr>
          <w:b/>
          <w:bCs/>
        </w:rPr>
        <w:t xml:space="preserve">Figure 4</w:t>
      </w:r>
      <w:r>
        <w:t xml:space="preserve"> </w:t>
      </w:r>
      <w:r>
        <w:t xml:space="preserve">(to be inserted): Random-forest importance ranking for the same 13 features.</w:t>
      </w:r>
    </w:p>
    <w:bookmarkEnd w:id="13"/>
    <w:bookmarkStart w:id="14" w:name="X03c0cfcb3e1e8831e2b69bfb9dc75e9189496fb"/>
    <w:p>
      <w:pPr>
        <w:pStyle w:val="Heading4"/>
      </w:pPr>
      <w:r>
        <w:t xml:space="preserve">What the thirteen descriptors mean chemically</w:t>
      </w:r>
    </w:p>
    <w:p>
      <w:pPr>
        <w:pStyle w:val="FirstParagraph"/>
      </w:pPr>
      <w:r>
        <w:t xml:space="preserve">The SelectFromModel list is short enough to discuss in physical terms rather than as an anonymous feature vector:</w:t>
      </w:r>
    </w:p>
    <w:p>
      <w:pPr>
        <w:pStyle w:val="BodyText"/>
      </w:pPr>
      <w:r>
        <w:rPr>
          <w:rStyle w:val="VerbatimChar"/>
        </w:rPr>
        <w:t xml:space="preserve">CL_PRIMARY_ORGANIC_HALIDE</w:t>
      </w:r>
      <w:r>
        <w:t xml:space="preserve">,</w:t>
      </w:r>
      <w:r>
        <w:t xml:space="preserve"> </w:t>
      </w:r>
      <w:r>
        <w:rPr>
          <w:rStyle w:val="VerbatimChar"/>
        </w:rPr>
        <w:t xml:space="preserve">BR_PRIMARY_ORGANIC_HALIDE</w:t>
      </w:r>
      <w:r>
        <w:t xml:space="preserve">,</w:t>
      </w:r>
      <w:r>
        <w:t xml:space="preserve"> </w:t>
      </w:r>
      <w:r>
        <w:rPr>
          <w:rStyle w:val="VerbatimChar"/>
        </w:rPr>
        <w:t xml:space="preserve">SPACER_TO_PB_RATIO</w:t>
      </w:r>
      <w:r>
        <w:t xml:space="preserve">,</w:t>
      </w:r>
      <w:r>
        <w:t xml:space="preserve"> </w:t>
      </w:r>
      <w:r>
        <w:rPr>
          <w:rStyle w:val="VerbatimChar"/>
        </w:rPr>
        <w:t xml:space="preserve">PbCl2</w:t>
      </w:r>
      <w:r>
        <w:t xml:space="preserve">,</w:t>
      </w:r>
      <w:r>
        <w:t xml:space="preserve"> </w:t>
      </w:r>
      <w:r>
        <w:rPr>
          <w:rStyle w:val="VerbatimChar"/>
        </w:rPr>
        <w:t xml:space="preserve">PbBr2</w:t>
      </w:r>
      <w:r>
        <w:t xml:space="preserve">,</w:t>
      </w:r>
      <w:r>
        <w:t xml:space="preserve"> </w:t>
      </w:r>
      <w:r>
        <w:rPr>
          <w:rStyle w:val="VerbatimChar"/>
        </w:rPr>
        <w:t xml:space="preserve">CsBr_TO_Pb</w:t>
      </w:r>
      <w:r>
        <w:t xml:space="preserve">,</w:t>
      </w:r>
      <w:r>
        <w:t xml:space="preserve"> </w:t>
      </w:r>
      <w:r>
        <w:rPr>
          <w:rStyle w:val="VerbatimChar"/>
        </w:rPr>
        <w:t xml:space="preserve">CsI_TO_Pb</w:t>
      </w:r>
      <w:r>
        <w:t xml:space="preserve">,</w:t>
      </w:r>
      <w:r>
        <w:t xml:space="preserve"> </w:t>
      </w:r>
      <w:r>
        <w:rPr>
          <w:rStyle w:val="VerbatimChar"/>
        </w:rPr>
        <w:t xml:space="preserve">FABr_TO_Pb</w:t>
      </w:r>
      <w:r>
        <w:t xml:space="preserve">,</w:t>
      </w:r>
      <w:r>
        <w:t xml:space="preserve"> </w:t>
      </w:r>
      <w:r>
        <w:rPr>
          <w:rStyle w:val="VerbatimChar"/>
        </w:rPr>
        <w:t xml:space="preserve">FAI_TO_Pb</w:t>
      </w:r>
      <w:r>
        <w:t xml:space="preserve">,</w:t>
      </w:r>
      <w:r>
        <w:t xml:space="preserve"> </w:t>
      </w:r>
      <w:r>
        <w:rPr>
          <w:rStyle w:val="VerbatimChar"/>
        </w:rPr>
        <w:t xml:space="preserve">SOLVENT_DMF</w:t>
      </w:r>
      <w:r>
        <w:t xml:space="preserve">,</w:t>
      </w:r>
      <w:r>
        <w:t xml:space="preserve"> </w:t>
      </w:r>
      <w:r>
        <w:rPr>
          <w:rStyle w:val="VerbatimChar"/>
        </w:rPr>
        <w:t xml:space="preserve">Pri_VSA_EState4</w:t>
      </w:r>
      <w:r>
        <w:t xml:space="preserve">,</w:t>
      </w:r>
      <w:r>
        <w:t xml:space="preserve"> </w:t>
      </w:r>
      <w:r>
        <w:rPr>
          <w:rStyle w:val="VerbatimChar"/>
        </w:rPr>
        <w:t xml:space="preserve">Sec_HallKierAlpha</w:t>
      </w:r>
      <w:r>
        <w:t xml:space="preserve">,</w:t>
      </w:r>
      <w:r>
        <w:t xml:space="preserve"> </w:t>
      </w:r>
      <w:r>
        <w:rPr>
          <w:rStyle w:val="VerbatimChar"/>
        </w:rPr>
        <w:t xml:space="preserve">Sec_PEOE_VSA6</w:t>
      </w:r>
    </w:p>
    <w:p>
      <w:pPr>
        <w:pStyle w:val="BodyText"/>
      </w:pPr>
      <w:r>
        <w:rPr>
          <w:b/>
          <w:bCs/>
        </w:rPr>
        <w:t xml:space="preserve">Halide identity and lead-halide inventory.</w:t>
      </w:r>
      <w:r>
        <w:t xml:space="preserve"> </w:t>
      </w:r>
      <w:r>
        <w:t xml:space="preserve">The binary flags</w:t>
      </w:r>
      <w:r>
        <w:t xml:space="preserve"> </w:t>
      </w:r>
      <w:r>
        <w:rPr>
          <w:rStyle w:val="VerbatimChar"/>
        </w:rPr>
        <w:t xml:space="preserve">CL_PRIMARY_ORGANIC_HALIDE</w:t>
      </w:r>
      <w:r>
        <w:t xml:space="preserve"> </w:t>
      </w:r>
      <w:r>
        <w:t xml:space="preserve">and</w:t>
      </w:r>
      <w:r>
        <w:t xml:space="preserve"> </w:t>
      </w:r>
      <w:r>
        <w:rPr>
          <w:rStyle w:val="VerbatimChar"/>
        </w:rPr>
        <w:t xml:space="preserve">BR_PRIMARY_ORGANIC_HALIDE</w:t>
      </w:r>
      <w:r>
        <w:t xml:space="preserve"> </w:t>
      </w:r>
      <w:r>
        <w:t xml:space="preserve">encode which halide is bound to the primary ammonium spacer in the precursor notation used in the source papers, while</w:t>
      </w:r>
      <w:r>
        <w:t xml:space="preserve"> </w:t>
      </w:r>
      <w:r>
        <w:rPr>
          <w:rStyle w:val="VerbatimChar"/>
        </w:rPr>
        <w:t xml:space="preserve">PbCl2</w:t>
      </w:r>
      <w:r>
        <w:t xml:space="preserve"> </w:t>
      </w:r>
      <w:r>
        <w:t xml:space="preserve">and</w:t>
      </w:r>
      <w:r>
        <w:t xml:space="preserve"> </w:t>
      </w:r>
      <w:r>
        <w:rPr>
          <w:rStyle w:val="VerbatimChar"/>
        </w:rPr>
        <w:t xml:space="preserve">PbBr2</w:t>
      </w:r>
      <w:r>
        <w:t xml:space="preserve"> </w:t>
      </w:r>
      <w:r>
        <w:t xml:space="preserve">report inorganic lead-halide fractions. Together they set the halide chemical potential in the ink and bias the average inorganic bandgap. Bromide-rich conditions generally blue-shift emission relative to iodide-heavy recipes when low-</w:t>
      </w:r>
      <w:r>
        <w:rPr>
          <w:i/>
          <w:iCs/>
        </w:rPr>
        <w:t xml:space="preserve">n</w:t>
      </w:r>
      <w:r>
        <w:t xml:space="preserve"> </w:t>
      </w:r>
      <w:r>
        <w:t xml:space="preserve">phases dominate, consistent with wider-gap wells and stronger confinement.[4,9] Chloride pathways can push photon energy higher still but often promote phase segregation if the stoichiometry is not balanced.</w:t>
      </w:r>
    </w:p>
    <w:p>
      <w:pPr>
        <w:pStyle w:val="BodyText"/>
      </w:pPr>
      <w:r>
        <w:rPr>
          <w:b/>
          <w:bCs/>
        </w:rPr>
        <w:t xml:space="preserve">Spacer-to-lead ratio.</w:t>
      </w:r>
      <w:r>
        <w:t xml:space="preserve"> </w:t>
      </w:r>
      <w:r>
        <w:rPr>
          <w:rStyle w:val="VerbatimChar"/>
        </w:rPr>
        <w:t xml:space="preserve">SPACER_TO_PB_RATIO</w:t>
      </w:r>
      <w:r>
        <w:t xml:space="preserve"> </w:t>
      </w:r>
      <w:r>
        <w:t xml:space="preserve">is the lever most chemists reach for first when tuning</w:t>
      </w:r>
      <w:r>
        <w:t xml:space="preserve"> </w:t>
      </w:r>
      <w:r>
        <w:rPr>
          <w:i/>
          <w:iCs/>
        </w:rPr>
        <w:t xml:space="preserve">n</w:t>
      </w:r>
      <w:r>
        <w:t xml:space="preserve">. More spacer relative to lead increases organic content in the film, raises average confinement, and tends to move the dominant emission to higher photon energy until a 3D-like impurity phase or a broadened distribution of domains pulls the peak back.[1,2] The model’s reliance on this ratio is reassuring: it recovers the same variable one would adjust in a rational experimental loop.</w:t>
      </w:r>
    </w:p>
    <w:p>
      <w:pPr>
        <w:pStyle w:val="BodyText"/>
      </w:pPr>
      <w:r>
        <w:rPr>
          <w:b/>
          <w:bCs/>
        </w:rPr>
        <w:t xml:space="preserve">A-site fractions.</w:t>
      </w:r>
      <w:r>
        <w:t xml:space="preserve"> </w:t>
      </w:r>
      <w:r>
        <w:rPr>
          <w:rStyle w:val="VerbatimChar"/>
        </w:rPr>
        <w:t xml:space="preserve">CsBr_TO_Pb</w:t>
      </w:r>
      <w:r>
        <w:t xml:space="preserve">,</w:t>
      </w:r>
      <w:r>
        <w:t xml:space="preserve"> </w:t>
      </w:r>
      <w:r>
        <w:rPr>
          <w:rStyle w:val="VerbatimChar"/>
        </w:rPr>
        <w:t xml:space="preserve">CsI_TO_Pb</w:t>
      </w:r>
      <w:r>
        <w:t xml:space="preserve">,</w:t>
      </w:r>
      <w:r>
        <w:t xml:space="preserve"> </w:t>
      </w:r>
      <w:r>
        <w:rPr>
          <w:rStyle w:val="VerbatimChar"/>
        </w:rPr>
        <w:t xml:space="preserve">FABr_TO_Pb</w:t>
      </w:r>
      <w:r>
        <w:t xml:space="preserve">, and</w:t>
      </w:r>
      <w:r>
        <w:t xml:space="preserve"> </w:t>
      </w:r>
      <w:r>
        <w:rPr>
          <w:rStyle w:val="VerbatimChar"/>
        </w:rPr>
        <w:t xml:space="preserve">FAI_TO_Pb</w:t>
      </w:r>
      <w:r>
        <w:t xml:space="preserve"> </w:t>
      </w:r>
      <w:r>
        <w:t xml:space="preserve">capture how formamidinium, cesium, and mixed halides on the small cation site appear in the precursor table. Our compilation does not assume a single A-site chemistry; the model learns from the blended ratios actually reported. That is appropriate for literature ML but also a limitation: subtle processing differences that fix the real A-site distribution in the film are not encoded.</w:t>
      </w:r>
    </w:p>
    <w:p>
      <w:pPr>
        <w:pStyle w:val="BodyText"/>
      </w:pPr>
      <w:r>
        <w:rPr>
          <w:b/>
          <w:bCs/>
        </w:rPr>
        <w:t xml:space="preserve">Solvent.</w:t>
      </w:r>
      <w:r>
        <w:t xml:space="preserve"> </w:t>
      </w:r>
      <w:r>
        <w:t xml:space="preserve">Retention of</w:t>
      </w:r>
      <w:r>
        <w:t xml:space="preserve"> </w:t>
      </w:r>
      <w:r>
        <w:rPr>
          <w:rStyle w:val="VerbatimChar"/>
        </w:rPr>
        <w:t xml:space="preserve">SOLVENT_DMF</w:t>
      </w:r>
      <w:r>
        <w:t xml:space="preserve"> </w:t>
      </w:r>
      <w:r>
        <w:t xml:space="preserve">reflects how strongly DMF versus DMSO (the other common entry in the set) alters Pb coordination, precursor aggregation, and crystallization kinetics. Solvent is a processing variable, not an intrinsic molecular property, yet it survives selection because papers report it more consistently than, for example, antisolvent drip rate or glovebox humidity.</w:t>
      </w:r>
    </w:p>
    <w:p>
      <w:pPr>
        <w:pStyle w:val="BodyText"/>
      </w:pPr>
      <w:r>
        <w:rPr>
          <w:b/>
          <w:bCs/>
        </w:rPr>
        <w:t xml:space="preserve">Molecular descriptors.</w:t>
      </w:r>
      <w:r>
        <w:t xml:space="preserve"> </w:t>
      </w:r>
      <w:r>
        <w:rPr>
          <w:rStyle w:val="VerbatimChar"/>
        </w:rPr>
        <w:t xml:space="preserve">Pri_VSA_EState4</w:t>
      </w:r>
      <w:r>
        <w:t xml:space="preserve"> </w:t>
      </w:r>
      <w:r>
        <w:t xml:space="preserve">partitions the primary spacer’s van der Waals surface by electrotopological state; it is sensitive to heteroatom placement and polarizable surface area at the interface with inorganic layers. For records with a secondary spacer,</w:t>
      </w:r>
      <w:r>
        <w:t xml:space="preserve"> </w:t>
      </w:r>
      <w:r>
        <w:rPr>
          <w:rStyle w:val="VerbatimChar"/>
        </w:rPr>
        <w:t xml:space="preserve">Sec_HallKierAlpha</w:t>
      </w:r>
      <w:r>
        <w:t xml:space="preserve"> </w:t>
      </w:r>
      <w:r>
        <w:t xml:space="preserve">reports molecular flexibility/topology, and</w:t>
      </w:r>
      <w:r>
        <w:t xml:space="preserve"> </w:t>
      </w:r>
      <w:r>
        <w:rPr>
          <w:rStyle w:val="VerbatimChar"/>
        </w:rPr>
        <w:t xml:space="preserve">Sec_PEOE_VSA6</w:t>
      </w:r>
      <w:r>
        <w:t xml:space="preserve"> </w:t>
      </w:r>
      <w:r>
        <w:t xml:space="preserve">captures partial-charge-weighted surface area on the secondary ligand—both reasonable proxies for how a second ligand perturbs interlayer spacing and local dielectric environment. If explicit hydrogens are not added before descriptor calculation, the secondary-spacer term switches to</w:t>
      </w:r>
      <w:r>
        <w:t xml:space="preserve"> </w:t>
      </w:r>
      <w:r>
        <w:rPr>
          <w:rStyle w:val="VerbatimChar"/>
        </w:rPr>
        <w:t xml:space="preserve">Sec_EState_VSA8</w:t>
      </w:r>
      <w:r>
        <w:t xml:space="preserve"> </w:t>
      </w:r>
      <w:r>
        <w:t xml:space="preserve">instead (SI Section S3); compositional terms are unchanged.</w:t>
      </w:r>
    </w:p>
    <w:p>
      <w:pPr>
        <w:pStyle w:val="BodyText"/>
      </w:pPr>
      <w:r>
        <w:t xml:space="preserve">The thirty-one-variable RFECV set adds, among others,</w:t>
      </w:r>
      <w:r>
        <w:t xml:space="preserve"> </w:t>
      </w:r>
      <w:r>
        <w:rPr>
          <w:rStyle w:val="VerbatimChar"/>
        </w:rPr>
        <w:t xml:space="preserve">PRIMARY_SPACER_FRACTION</w:t>
      </w:r>
      <w:r>
        <w:t xml:space="preserve">,</w:t>
      </w:r>
      <w:r>
        <w:t xml:space="preserve"> </w:t>
      </w:r>
      <w:r>
        <w:rPr>
          <w:rStyle w:val="VerbatimChar"/>
        </w:rPr>
        <w:t xml:space="preserve">SOLVENT_DMSO</w:t>
      </w:r>
      <w:r>
        <w:t xml:space="preserve">, several</w:t>
      </w:r>
      <w:r>
        <w:t xml:space="preserve"> </w:t>
      </w:r>
      <w:r>
        <w:rPr>
          <w:rStyle w:val="VerbatimChar"/>
        </w:rPr>
        <w:t xml:space="preserve">Pri_BCUT2D_*</w:t>
      </w:r>
      <w:r>
        <w:t xml:space="preserve"> </w:t>
      </w:r>
      <w:r>
        <w:t xml:space="preserve">hydrophobicity/partition descriptors,</w:t>
      </w:r>
      <w:r>
        <w:t xml:space="preserve"> </w:t>
      </w:r>
      <w:r>
        <w:rPr>
          <w:rStyle w:val="VerbatimChar"/>
        </w:rPr>
        <w:t xml:space="preserve">Pri_qed</w:t>
      </w:r>
      <w:r>
        <w:t xml:space="preserve">, rotatable-bond counts, and additional PEOE/VSA terms (full list, SI Table S4). They enrich a multivariate story but do not improve test error at</w:t>
      </w:r>
      <w:r>
        <w:t xml:space="preserve"> </w:t>
      </w:r>
      <w:r>
        <w:rPr>
          <w:i/>
          <w:iCs/>
        </w:rPr>
        <w:t xml:space="preserve">N</w:t>
      </w:r>
      <w:r>
        <w:t xml:space="preserve"> </w:t>
      </w:r>
      <w:r>
        <w:t xml:space="preserve">= 226.</w:t>
      </w:r>
    </w:p>
    <w:bookmarkEnd w:id="14"/>
    <w:bookmarkStart w:id="15" w:name="shap-readout"/>
    <w:p>
      <w:pPr>
        <w:pStyle w:val="Heading4"/>
      </w:pPr>
      <w:r>
        <w:t xml:space="preserve">SHAP readout</w:t>
      </w:r>
    </w:p>
    <w:p>
      <w:pPr>
        <w:pStyle w:val="FirstParagraph"/>
      </w:pPr>
      <w:r>
        <w:t xml:space="preserve">We used SHAP values to verify that the regression model ranks drivers in a chemically plausible order.[12] SHAP assigns each feature a Shapley contribution</w:t>
      </w:r>
      <w:r>
        <w:t xml:space="preserve"> </w:t>
      </w:r>
      <w:r>
        <w:rPr>
          <w:i/>
          <w:iCs/>
        </w:rPr>
        <w:t xml:space="preserve">φ</w:t>
      </w:r>
      <w:r>
        <w:rPr>
          <w:i/>
          <w:iCs/>
        </w:rPr>
        <w:t xml:space="preserve">j</w:t>
      </w:r>
      <w:r>
        <w:t xml:space="preserve"> </w:t>
      </w:r>
      <w:r>
        <w:t xml:space="preserve">such that the sum of contributions approximates the deviation of the prediction from the dataset mean for that record. For SVR, a positive contribution from</w:t>
      </w:r>
      <w:r>
        <w:t xml:space="preserve"> </w:t>
      </w:r>
      <w:r>
        <w:rPr>
          <w:rStyle w:val="VerbatimChar"/>
        </w:rPr>
        <w:t xml:space="preserve">SPACER_TO_PB_RATIO</w:t>
      </w:r>
      <w:r>
        <w:t xml:space="preserve"> </w:t>
      </w:r>
      <w:r>
        <w:t xml:space="preserve">means that, for that entry, stoichiometry pushes the predicted photon energy above the corpus average—consistent with stronger confinement. Tree-model SHAP on CatBoost yields similar rankings, with halide and stoichiometric terms leading and secondary-spacer descriptors contributing mainly on mixed-ligand entries.</w:t>
      </w:r>
      <w:r>
        <w:t xml:space="preserve"> </w:t>
      </w:r>
      <w:r>
        <w:rPr>
          <w:b/>
          <w:bCs/>
        </w:rPr>
        <w:t xml:space="preserve">Figure 5</w:t>
      </w:r>
      <w:r>
        <w:t xml:space="preserve"> </w:t>
      </w:r>
      <w:r>
        <w:t xml:space="preserve">shows the beeswarm plot for tuned SVR (thirteen features). We recommend a parity plot of experimental versus predicted</w:t>
      </w:r>
      <w:r>
        <w:t xml:space="preserve"> </w:t>
      </w:r>
      <w:r>
        <w:rPr>
          <w:i/>
          <w:iCs/>
        </w:rPr>
        <w:t xml:space="preserve">E</w:t>
      </w:r>
      <w:r>
        <w:t xml:space="preserve">ph</w:t>
      </w:r>
      <w:r>
        <w:t xml:space="preserve"> </w:t>
      </w:r>
      <w:r>
        <w:t xml:space="preserve">for the 57 test records as</w:t>
      </w:r>
      <w:r>
        <w:t xml:space="preserve"> </w:t>
      </w:r>
      <w:r>
        <w:rPr>
          <w:b/>
          <w:bCs/>
        </w:rPr>
        <w:t xml:space="preserve">Figure 6</w:t>
      </w:r>
      <w:r>
        <w:t xml:space="preserve">, with points coloured by whether the source report used mixed spacers.</w:t>
      </w:r>
    </w:p>
    <w:bookmarkEnd w:id="15"/>
    <w:bookmarkStart w:id="16" w:name="wavelength-models-briefly"/>
    <w:p>
      <w:pPr>
        <w:pStyle w:val="Heading4"/>
      </w:pPr>
      <w:r>
        <w:t xml:space="preserve">Wavelength models (briefly)</w:t>
      </w:r>
    </w:p>
    <w:p>
      <w:pPr>
        <w:pStyle w:val="FirstParagraph"/>
      </w:pPr>
      <w:r>
        <w:t xml:space="preserve">Because</w:t>
      </w:r>
      <w:r>
        <w:t xml:space="preserve"> </w:t>
      </w:r>
      <w:r>
        <w:rPr>
          <w:i/>
          <w:iCs/>
        </w:rPr>
        <w:t xml:space="preserve">E</w:t>
      </w:r>
      <w:r>
        <w:t xml:space="preserve">ph</w:t>
      </w:r>
      <w:r>
        <w:t xml:space="preserve"> </w:t>
      </w:r>
      <w:r>
        <w:t xml:space="preserve">and λ are related by</w:t>
      </w:r>
      <w:r>
        <w:t xml:space="preserve"> </w:t>
      </w:r>
      <w:r>
        <w:rPr>
          <w:i/>
          <w:iCs/>
        </w:rPr>
        <w:t xml:space="preserve">E</w:t>
      </w:r>
      <w:r>
        <w:t xml:space="preserve"> </w:t>
      </w:r>
      <w:r>
        <w:t xml:space="preserve">≈ 1240/λ, one might expect wavelength regression to be interchangeable with energy regression. In practice the literature mixes electroluminescence peaks with photoluminescence maxima, and the Stokes shift differs between films and measurement conditions. We therefore treat wavelength as a secondary consistency check. A tuned Gaussian process on RFECV-selected features (twenty-eight variables, without AddHs; SI Section S2) reaches</w:t>
      </w:r>
      <w:r>
        <w:t xml:space="preserve"> </w:t>
      </w:r>
      <w:r>
        <w:rPr>
          <w:i/>
          <w:iCs/>
        </w:rPr>
        <w:t xml:space="preserve">R</w:t>
      </w:r>
      <w:r>
        <w:t xml:space="preserve">2</w:t>
      </w:r>
      <w:r>
        <w:t xml:space="preserve"> </w:t>
      </w:r>
      <w:r>
        <w:t xml:space="preserve">= 0.958 with RMSE ≈ 21 nm on the same fifty-seven-record test fold—encouraging, but not superior to the AddHs thirteen-variable energy model when one considers interpretability and descriptor stability. Full wavelength benchmarks and SHAP plots are in the SI.</w:t>
      </w:r>
    </w:p>
    <w:p>
      <w:r>
        <w:pict>
          <v:rect style="width:0;height:1.5pt" o:hralign="center" o:hrstd="t" o:hr="t"/>
        </w:pict>
      </w:r>
    </w:p>
    <w:bookmarkEnd w:id="16"/>
    <w:bookmarkEnd w:id="17"/>
    <w:bookmarkStart w:id="18" w:name="X2329d92194691254c9744a2c0f46d62b51ae009"/>
    <w:p>
      <w:pPr>
        <w:pStyle w:val="Heading3"/>
      </w:pPr>
      <w:r>
        <w:t xml:space="preserve">2.3. External quantum efficiency: a different problem</w:t>
      </w:r>
    </w:p>
    <w:p>
      <w:pPr>
        <w:pStyle w:val="FirstParagraph"/>
      </w:pPr>
      <w:r>
        <w:t xml:space="preserve">Once emission colour is modelled satisfactorily at the materials level, it is tempting to ask whether the same table can predict EQE. Our answer, for literature data in their present form, is only partially.</w:t>
      </w:r>
    </w:p>
    <w:p>
      <w:pPr>
        <w:pStyle w:val="BodyText"/>
      </w:pPr>
      <w:r>
        <w:t xml:space="preserve">We assembled 266 EQE records (</w:t>
      </w:r>
      <w:r>
        <w:rPr>
          <w:rStyle w:val="VerbatimChar"/>
        </w:rPr>
        <w:t xml:space="preserve">EQE_CLEANED</w:t>
      </w:r>
      <w:r>
        <w:t xml:space="preserve">) with hole-transport material (HTL), electron-transport material (ETL), additive identity, and coarse thermal processing fields (deposition temperature, annealing time) in addition to the compositional columns used for emission. Thirty-four distinct HTL labels and thirteen ETL labels appear in the set; EQE spans 0.002% to 30.8%. Even after recursive feature elimination to twenty descriptors and hyperparameter tuning of tree models, the best purely compositional regressors reach only</w:t>
      </w:r>
      <w:r>
        <w:t xml:space="preserve"> </w:t>
      </w:r>
      <w:r>
        <w:rPr>
          <w:i/>
          <w:iCs/>
        </w:rPr>
        <w:t xml:space="preserve">R</w:t>
      </w:r>
      <w:r>
        <w:t xml:space="preserve">2</w:t>
      </w:r>
      <w:r>
        <w:t xml:space="preserve"> </w:t>
      </w:r>
      <w:r>
        <w:t xml:space="preserve">≈ 0.44–0.51 on the test fold (Table 2). A CatBoost model that treats HTL, ETL, and additive as native categorical variables—our best attempt to encode “device architecture” from what papers actually tabulate—raises</w:t>
      </w:r>
      <w:r>
        <w:t xml:space="preserve"> </w:t>
      </w:r>
      <w:r>
        <w:rPr>
          <w:i/>
          <w:iCs/>
        </w:rPr>
        <w:t xml:space="preserve">R</w:t>
      </w:r>
      <w:r>
        <w:t xml:space="preserve">2</w:t>
      </w:r>
      <w:r>
        <w:t xml:space="preserve"> </w:t>
      </w:r>
      <w:r>
        <w:t xml:space="preserve">to 0.57 with RMSE ≈ 4.4% EQE. That improvement is real but modest: it explains a little more than half the variance in EQE while the emission model explains about ninety-five percent of the variance in photon energy on the same style of split.</w:t>
      </w:r>
    </w:p>
    <w:p>
      <w:pPr>
        <w:pStyle w:val="BodyText"/>
      </w:pPr>
      <w:r>
        <w:rPr>
          <w:b/>
          <w:bCs/>
        </w:rPr>
        <w:t xml:space="preserve">Table 2.</w:t>
      </w:r>
      <w:r>
        <w:t xml:space="preserve"> </w:t>
      </w:r>
      <w:r>
        <w:t xml:space="preserve">Held-out test performance for literature EQE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 EQE)</w:t>
            </w:r>
          </w:p>
        </w:tc>
        <w:tc>
          <w:tcPr/>
          <w:p>
            <w:pPr>
              <w:pStyle w:val="Compact"/>
            </w:pPr>
            <w:r>
              <w:t xml:space="preserve">MAE (% EQE)</w:t>
            </w:r>
          </w:p>
        </w:tc>
      </w:tr>
      <w:tr>
        <w:tc>
          <w:tcPr/>
          <w:p>
            <w:pPr>
              <w:pStyle w:val="Compact"/>
            </w:pPr>
            <w:r>
              <w:t xml:space="preserve">Tuned XGBoost (RFE, 20 features)</w:t>
            </w:r>
          </w:p>
        </w:tc>
        <w:tc>
          <w:tcPr/>
          <w:p>
            <w:pPr>
              <w:pStyle w:val="Compact"/>
            </w:pPr>
            <w:r>
              <w:t xml:space="preserve">0.512</w:t>
            </w:r>
          </w:p>
        </w:tc>
        <w:tc>
          <w:tcPr/>
          <w:p>
            <w:pPr>
              <w:pStyle w:val="Compact"/>
            </w:pPr>
            <w:r>
              <w:t xml:space="preserve">5.01</w:t>
            </w:r>
          </w:p>
        </w:tc>
        <w:tc>
          <w:tcPr/>
          <w:p>
            <w:pPr>
              <w:pStyle w:val="Compact"/>
            </w:pPr>
            <w:r>
              <w:t xml:space="preserve">3.77</w:t>
            </w:r>
          </w:p>
        </w:tc>
      </w:tr>
      <w:tr>
        <w:tc>
          <w:tcPr/>
          <w:p>
            <w:pPr>
              <w:pStyle w:val="Compact"/>
            </w:pPr>
            <w:r>
              <w:t xml:space="preserve">Tuned random forest</w:t>
            </w:r>
          </w:p>
        </w:tc>
        <w:tc>
          <w:tcPr/>
          <w:p>
            <w:pPr>
              <w:pStyle w:val="Compact"/>
            </w:pPr>
            <w:r>
              <w:t xml:space="preserve">0.478</w:t>
            </w:r>
          </w:p>
        </w:tc>
        <w:tc>
          <w:tcPr/>
          <w:p>
            <w:pPr>
              <w:pStyle w:val="Compact"/>
            </w:pPr>
            <w:r>
              <w:t xml:space="preserve">5.18</w:t>
            </w:r>
          </w:p>
        </w:tc>
        <w:tc>
          <w:tcPr/>
          <w:p>
            <w:pPr>
              <w:pStyle w:val="Compact"/>
            </w:pPr>
            <w:r>
              <w:t xml:space="preserve">3.88</w:t>
            </w:r>
          </w:p>
        </w:tc>
      </w:tr>
      <w:tr>
        <w:tc>
          <w:tcPr/>
          <w:p>
            <w:pPr>
              <w:pStyle w:val="Compact"/>
            </w:pPr>
            <w:r>
              <w:t xml:space="preserve">Tuned CatBoost</w:t>
            </w:r>
          </w:p>
        </w:tc>
        <w:tc>
          <w:tcPr/>
          <w:p>
            <w:pPr>
              <w:pStyle w:val="Compact"/>
            </w:pPr>
            <w:r>
              <w:t xml:space="preserve">0.443</w:t>
            </w:r>
          </w:p>
        </w:tc>
        <w:tc>
          <w:tcPr/>
          <w:p>
            <w:pPr>
              <w:pStyle w:val="Compact"/>
            </w:pPr>
            <w:r>
              <w:t xml:space="preserve">5.35</w:t>
            </w:r>
          </w:p>
        </w:tc>
        <w:tc>
          <w:tcPr/>
          <w:p>
            <w:pPr>
              <w:pStyle w:val="Compact"/>
            </w:pPr>
            <w:r>
              <w:t xml:space="preserve">3.75</w:t>
            </w:r>
          </w:p>
        </w:tc>
      </w:tr>
      <w:tr>
        <w:tc>
          <w:tcPr/>
          <w:p>
            <w:pPr>
              <w:pStyle w:val="Compact"/>
            </w:pPr>
            <w:r>
              <w:t xml:space="preserve">CatBoost (architecture features)</w:t>
            </w:r>
          </w:p>
        </w:tc>
        <w:tc>
          <w:tcPr/>
          <w:p>
            <w:pPr>
              <w:pStyle w:val="Compact"/>
            </w:pPr>
            <w:r>
              <w:t xml:space="preserve">0.570</w:t>
            </w:r>
          </w:p>
        </w:tc>
        <w:tc>
          <w:tcPr/>
          <w:p>
            <w:pPr>
              <w:pStyle w:val="Compact"/>
            </w:pPr>
            <w:r>
              <w:t xml:space="preserve">4.42</w:t>
            </w:r>
          </w:p>
        </w:tc>
        <w:tc>
          <w:tcPr/>
          <w:p>
            <w:pPr>
              <w:pStyle w:val="Compact"/>
            </w:pPr>
            <w:r>
              <w:t xml:space="preserve">3.25</w:t>
            </w:r>
          </w:p>
        </w:tc>
      </w:tr>
    </w:tbl>
    <w:p>
      <w:pPr>
        <w:pStyle w:val="BodyText"/>
      </w:pPr>
      <w:r>
        <w:t xml:space="preserve">The gap is not an algorithm failure. EQE couples internal radiative efficiency with charge injection balance and light outcoupling. Pinhole-free morphology, interfacial trap passivation, refractive-index matching, and the exact measurement protocol—integrated sphere calibration, pixel area, sweep rate— routinely move EQE by several percentage points without any change to the precursor stoichiometry row that appears in a spreadsheet. Different groups also describe annealing, antisolvent quenching, and atmosphere control in prose without numeric fields. Zhang et al. reached a similar conclusion for PeLED additive classification: machine learning on small, diverse device datasets works best when the training distribution matches the deployment case.[10] Literature EQE tables mix cases that do not.</w:t>
      </w:r>
    </w:p>
    <w:p>
      <w:pPr>
        <w:pStyle w:val="BodyText"/>
      </w:pPr>
      <w:r>
        <w:t xml:space="preserve">We therefore treat EQE models trained here as</w:t>
      </w:r>
      <w:r>
        <w:t xml:space="preserve"> </w:t>
      </w:r>
      <w:r>
        <w:rPr>
          <w:b/>
          <w:bCs/>
        </w:rPr>
        <w:t xml:space="preserve">ranking aids</w:t>
      </w:r>
      <w:r>
        <w:t xml:space="preserve">—useful for flagging whether transport-layer choice correlates with higher reported efficiency in the historical record—not as quantitative replacements for fabricating and measuring a device.</w:t>
      </w:r>
      <w:r>
        <w:t xml:space="preserve"> </w:t>
      </w:r>
      <w:r>
        <w:rPr>
          <w:b/>
          <w:bCs/>
        </w:rPr>
        <w:t xml:space="preserve">Figure 7</w:t>
      </w:r>
      <w:r>
        <w:t xml:space="preserve"> </w:t>
      </w:r>
      <w:r>
        <w:t xml:space="preserve">(schematic) and</w:t>
      </w:r>
      <w:r>
        <w:t xml:space="preserve"> </w:t>
      </w:r>
      <w:r>
        <w:rPr>
          <w:b/>
          <w:bCs/>
        </w:rPr>
        <w:t xml:space="preserve">Figure 8</w:t>
      </w:r>
      <w:r>
        <w:t xml:space="preserve"> </w:t>
      </w:r>
      <w:r>
        <w:t xml:space="preserve">(SHAP for the architecture-aware CatBoost model) summarize this distinction.</w:t>
      </w:r>
    </w:p>
    <w:p>
      <w:r>
        <w:pict>
          <v:rect style="width:0;height:1.5pt" o:hralign="center" o:hrstd="t" o:hr="t"/>
        </w:pict>
      </w:r>
    </w:p>
    <w:bookmarkEnd w:id="18"/>
    <w:bookmarkEnd w:id="19"/>
    <w:bookmarkStart w:id="20" w:name="X7360bcb5a6ce71e68987dc258320e152330003f"/>
    <w:p>
      <w:pPr>
        <w:pStyle w:val="Heading2"/>
      </w:pPr>
      <w:r>
        <w:t xml:space="preserve">3. Computational Methods</w:t>
      </w:r>
    </w:p>
    <w:p>
      <w:pPr>
        <w:pStyle w:val="FirstParagraph"/>
      </w:pPr>
      <w:r>
        <w:rPr>
          <w:b/>
          <w:bCs/>
        </w:rPr>
        <w:t xml:space="preserve">Data curation.</w:t>
      </w:r>
      <w:r>
        <w:t xml:space="preserve"> </w:t>
      </w:r>
      <w:r>
        <w:t xml:space="preserve">Literature records were taken from</w:t>
      </w:r>
      <w:r>
        <w:t xml:space="preserve"> </w:t>
      </w:r>
      <w:r>
        <w:rPr>
          <w:rStyle w:val="VerbatimChar"/>
        </w:rPr>
        <w:t xml:space="preserve">SF_DATA_EMISSION_PEAK.xlsx</w:t>
      </w:r>
      <w:r>
        <w:t xml:space="preserve"> </w:t>
      </w:r>
      <w:r>
        <w:t xml:space="preserve">(emission sheet, 283 rows; EQE sheet, 266 rows). Each row corresponds to a reported device or film with extracted precursor stoichiometry, spacer names, solvent, and target property (</w:t>
      </w:r>
      <w:r>
        <w:rPr>
          <w:i/>
          <w:iCs/>
        </w:rPr>
        <w:t xml:space="preserve">E</w:t>
      </w:r>
      <w:r>
        <w:t xml:space="preserve">ph</w:t>
      </w:r>
      <w:r>
        <w:t xml:space="preserve"> </w:t>
      </w:r>
      <w:r>
        <w:t xml:space="preserve">in eV, emission peak in nm where noted, or EQE in %). Reference DOIs were retained for traceability but not used as model inputs.</w:t>
      </w:r>
    </w:p>
    <w:p>
      <w:pPr>
        <w:pStyle w:val="BodyText"/>
      </w:pPr>
      <w:r>
        <w:rPr>
          <w:b/>
          <w:bCs/>
        </w:rPr>
        <w:t xml:space="preserve">Structure encoding.</w:t>
      </w:r>
      <w:r>
        <w:t xml:space="preserve"> </w:t>
      </w:r>
      <w:r>
        <w:t xml:space="preserve">Primary and secondary spacer IUPAC names were converted to SMILES using an in-house lookup table and, when necessary, the NIH CACTUS structure resolver. RDKit (version as in project</w:t>
      </w:r>
      <w:r>
        <w:t xml:space="preserve"> </w:t>
      </w:r>
      <w:r>
        <w:rPr>
          <w:rStyle w:val="VerbatimChar"/>
        </w:rPr>
        <w:t xml:space="preserve">requirements.txt</w:t>
      </w:r>
      <w:r>
        <w:t xml:space="preserve">) computed 217 two-dimensional descriptors for each unique SMILES after</w:t>
      </w:r>
      <w:r>
        <w:t xml:space="preserve"> </w:t>
      </w:r>
      <w:r>
        <w:rPr>
          <w:rStyle w:val="VerbatimChar"/>
        </w:rPr>
        <w:t xml:space="preserve">Chem.AddHs</w:t>
      </w:r>
      <w:r>
        <w:t xml:space="preserve">; descriptors were merged onto every record with</w:t>
      </w:r>
      <w:r>
        <w:t xml:space="preserve"> </w:t>
      </w:r>
      <w:r>
        <w:rPr>
          <w:rStyle w:val="VerbatimChar"/>
        </w:rPr>
        <w:t xml:space="preserve">Pri_</w:t>
      </w:r>
      <w:r>
        <w:t xml:space="preserve"> </w:t>
      </w:r>
      <w:r>
        <w:t xml:space="preserve">and</w:t>
      </w:r>
      <w:r>
        <w:t xml:space="preserve"> </w:t>
      </w:r>
      <w:r>
        <w:rPr>
          <w:rStyle w:val="VerbatimChar"/>
        </w:rPr>
        <w:t xml:space="preserve">Sec_</w:t>
      </w:r>
      <w:r>
        <w:t xml:space="preserve"> </w:t>
      </w:r>
      <w:r>
        <w:t xml:space="preserve">prefixes. Solvents were one-hot encoded (</w:t>
      </w:r>
      <w:r>
        <w:rPr>
          <w:rStyle w:val="VerbatimChar"/>
        </w:rPr>
        <w:t xml:space="preserve">SOLVENT_*</w:t>
      </w:r>
      <w:r>
        <w:t xml:space="preserve"> </w:t>
      </w:r>
      <w:r>
        <w:t xml:space="preserve">columns).</w:t>
      </w:r>
    </w:p>
    <w:p>
      <w:pPr>
        <w:pStyle w:val="BodyText"/>
      </w:pPr>
      <w:r>
        <w:rPr>
          <w:b/>
          <w:bCs/>
        </w:rPr>
        <w:t xml:space="preserve">Train–test splitting.</w:t>
      </w:r>
      <w:r>
        <w:t xml:space="preserve"> </w:t>
      </w:r>
      <w:r>
        <w:t xml:space="preserve">An 80/20 split (</w:t>
      </w:r>
      <w:r>
        <w:rPr>
          <w:rStyle w:val="VerbatimChar"/>
        </w:rPr>
        <w:t xml:space="preserve">random_state</w:t>
      </w:r>
      <w:r>
        <w:t xml:space="preserve"> </w:t>
      </w:r>
      <w:r>
        <w:t xml:space="preserve">= 42) was applied with stratification on</w:t>
      </w:r>
      <w:r>
        <w:t xml:space="preserve"> </w:t>
      </w:r>
      <w:r>
        <w:rPr>
          <w:rStyle w:val="VerbatimChar"/>
        </w:rPr>
        <w:t xml:space="preserve">IS_MIXED_SPACERS_SPACER</w:t>
      </w:r>
      <w:r>
        <w:t xml:space="preserve"> </w:t>
      </w:r>
      <w:r>
        <w:t xml:space="preserve">for emission models, yielding 226 training and 57 test records. EQE models used a composite stratification profile (mixed spacer, additive presence, grouped HTL/ETL) described in SI Section S7.</w:t>
      </w:r>
    </w:p>
    <w:p>
      <w:pPr>
        <w:pStyle w:val="BodyText"/>
      </w:pPr>
      <w:r>
        <w:rPr>
          <w:b/>
          <w:bCs/>
        </w:rPr>
        <w:t xml:space="preserve">Correlation filtering.</w:t>
      </w:r>
      <w:r>
        <w:t xml:space="preserve"> </w:t>
      </w:r>
      <w:r>
        <w:t xml:space="preserve">Pearson correlation matrices were computed on the training fold only. Column</w:t>
      </w:r>
      <w:r>
        <w:t xml:space="preserve"> </w:t>
      </w:r>
      <w:r>
        <w:rPr>
          <w:i/>
          <w:iCs/>
        </w:rPr>
        <w:t xml:space="preserve">j</w:t>
      </w:r>
      <w:r>
        <w:t xml:space="preserve"> </w:t>
      </w:r>
      <w:r>
        <w:t xml:space="preserve">was removed if |</w:t>
      </w:r>
      <w:r>
        <w:rPr>
          <w:i/>
          <w:iCs/>
        </w:rPr>
        <w:t xml:space="preserve">r</w:t>
      </w:r>
      <w:r>
        <w:t xml:space="preserve">| &gt; 0.90 for any pair (</w:t>
      </w:r>
      <w:r>
        <w:rPr>
          <w:i/>
          <w:iCs/>
        </w:rPr>
        <w:t xml:space="preserve">j</w:t>
      </w:r>
      <w:r>
        <w:t xml:space="preserve">,</w:t>
      </w:r>
      <w:r>
        <w:t xml:space="preserve"> </w:t>
      </w:r>
      <w:r>
        <w:rPr>
          <w:i/>
          <w:iCs/>
        </w:rPr>
        <w:t xml:space="preserve">k</w:t>
      </w:r>
      <w:r>
        <w:t xml:space="preserve">) with</w:t>
      </w:r>
      <w:r>
        <w:t xml:space="preserve"> </w:t>
      </w:r>
      <w:r>
        <w:rPr>
          <w:i/>
          <w:iCs/>
        </w:rPr>
        <w:t xml:space="preserve">j</w:t>
      </w:r>
      <w:r>
        <w:t xml:space="preserve"> </w:t>
      </w:r>
      <w:r>
        <w:t xml:space="preserve">≠</w:t>
      </w:r>
      <w:r>
        <w:t xml:space="preserve"> </w:t>
      </w:r>
      <w:r>
        <w:rPr>
          <w:i/>
          <w:iCs/>
        </w:rPr>
        <w:t xml:space="preserve">k</w:t>
      </w:r>
      <w:r>
        <w:t xml:space="preserve">, giving 173 removals from 462 initial columns.</w:t>
      </w:r>
    </w:p>
    <w:p>
      <w:pPr>
        <w:pStyle w:val="BodyText"/>
      </w:pPr>
      <w:r>
        <w:rPr>
          <w:b/>
          <w:bCs/>
        </w:rPr>
        <w:t xml:space="preserve">Feature selection.</w:t>
      </w:r>
      <w:r>
        <w:t xml:space="preserve"> </w:t>
      </w:r>
      <w:r>
        <w:t xml:space="preserve">(i) RFECV: five-fold stratified CV, random-forest selector, sample weights for class balance, minimum CV RMSE at 31 features. (ii) SelectFromModel: prefitted random forest,</w:t>
      </w:r>
      <w:r>
        <w:t xml:space="preserve"> </w:t>
      </w:r>
      <w:r>
        <w:rPr>
          <w:rStyle w:val="VerbatimChar"/>
        </w:rPr>
        <w:t xml:space="preserve">threshold='mean'</w:t>
      </w:r>
      <w:r>
        <w:t xml:space="preserve">, 13 features retained. Test data were not used in either selector.</w:t>
      </w:r>
    </w:p>
    <w:p>
      <w:pPr>
        <w:pStyle w:val="BodyText"/>
      </w:pPr>
      <w:r>
        <w:rPr>
          <w:b/>
          <w:bCs/>
        </w:rPr>
        <w:t xml:space="preserve">Regression and tuning.</w:t>
      </w:r>
      <w:r>
        <w:t xml:space="preserve"> </w:t>
      </w:r>
      <w:r>
        <w:t xml:space="preserve">Models included random forest, CatBoost, XGBoost, SVR (RBF kernel), and Gaussian process regression. Features were standardized for SVR and GPR. Hyperparameters were chosen by randomized search (15 iterations, five-fold CV, negative mean squared error) except where CatBoost’s native search was used for EQE. Reported metrics are</w:t>
      </w:r>
      <w:r>
        <w:t xml:space="preserve"> </w:t>
      </w:r>
      <w:r>
        <w:rPr>
          <w:i/>
          <w:iCs/>
        </w:rPr>
        <w:t xml:space="preserve">R</w:t>
      </w:r>
      <w:r>
        <w:t xml:space="preserve">2</w:t>
      </w:r>
      <w:r>
        <w:t xml:space="preserve">, RMSE, and MAE on the held-out 57 emission records (or the EQE test fold).</w:t>
      </w:r>
    </w:p>
    <w:p>
      <w:pPr>
        <w:pStyle w:val="BodyText"/>
      </w:pPr>
      <w:r>
        <w:rPr>
          <w:b/>
          <w:bCs/>
        </w:rPr>
        <w:t xml:space="preserve">Interpretation.</w:t>
      </w:r>
      <w:r>
        <w:t xml:space="preserve"> </w:t>
      </w:r>
      <w:r>
        <w:t xml:space="preserve">SHAP values were computed with</w:t>
      </w:r>
      <w:r>
        <w:t xml:space="preserve"> </w:t>
      </w:r>
      <w:r>
        <w:rPr>
          <w:rStyle w:val="VerbatimChar"/>
        </w:rPr>
        <w:t xml:space="preserve">TreeExplainer</w:t>
      </w:r>
      <w:r>
        <w:t xml:space="preserve"> </w:t>
      </w:r>
      <w:r>
        <w:t xml:space="preserve">for tree models and</w:t>
      </w:r>
      <w:r>
        <w:t xml:space="preserve"> </w:t>
      </w:r>
      <w:r>
        <w:rPr>
          <w:rStyle w:val="VerbatimChar"/>
        </w:rPr>
        <w:t xml:space="preserve">KernelExplainer</w:t>
      </w:r>
      <w:r>
        <w:t xml:space="preserve"> </w:t>
      </w:r>
      <w:r>
        <w:t xml:space="preserve">(50 random training samples as background) for SVR and GPR.[12]</w:t>
      </w:r>
    </w:p>
    <w:p>
      <w:pPr>
        <w:pStyle w:val="BodyText"/>
      </w:pPr>
      <w:r>
        <w:rPr>
          <w:b/>
          <w:bCs/>
        </w:rPr>
        <w:t xml:space="preserve">Reproducibility.</w:t>
      </w:r>
      <w:r>
        <w:t xml:space="preserve"> </w:t>
      </w:r>
      <w:r>
        <w:t xml:space="preserve">Analysis code is packaged as</w:t>
      </w:r>
      <w:r>
        <w:t xml:space="preserve"> </w:t>
      </w:r>
      <w:r>
        <w:rPr>
          <w:rStyle w:val="VerbatimChar"/>
        </w:rPr>
        <w:t xml:space="preserve">ml_quasit</w:t>
      </w:r>
      <w:r>
        <w:t xml:space="preserve">. Primary configuration files:</w:t>
      </w:r>
      <w:r>
        <w:t xml:space="preserve"> </w:t>
      </w:r>
      <w:r>
        <w:rPr>
          <w:rStyle w:val="VerbatimChar"/>
        </w:rPr>
        <w:t xml:space="preserve">configs/emission_photon_energy/add_hydrogens_tuned_select_from_model.yaml</w:t>
      </w:r>
      <w:r>
        <w:t xml:space="preserve"> </w:t>
      </w:r>
      <w:r>
        <w:t xml:space="preserve">and</w:t>
      </w:r>
      <w:r>
        <w:t xml:space="preserve"> </w:t>
      </w:r>
      <w:r>
        <w:rPr>
          <w:rStyle w:val="VerbatimChar"/>
        </w:rPr>
        <w:t xml:space="preserve">add_hydrogens_tuned_rfecv.yaml</w:t>
      </w:r>
      <w:r>
        <w:t xml:space="preserve">. Notebooks:</w:t>
      </w:r>
      <w:r>
        <w:t xml:space="preserve"> </w:t>
      </w:r>
      <w:r>
        <w:rPr>
          <w:rStyle w:val="VerbatimChar"/>
        </w:rPr>
        <w:t xml:space="preserve">add_hydrogens_tuned_select_from_model.ipynb</w:t>
      </w:r>
      <w:r>
        <w:t xml:space="preserve"> </w:t>
      </w:r>
      <w:r>
        <w:t xml:space="preserve">(thirteen features) and</w:t>
      </w:r>
      <w:r>
        <w:t xml:space="preserve"> </w:t>
      </w:r>
      <w:r>
        <w:rPr>
          <w:rStyle w:val="VerbatimChar"/>
        </w:rPr>
        <w:t xml:space="preserve">add_hydrogens_tuned_rfecv.ipynb</w:t>
      </w:r>
      <w:r>
        <w:t xml:space="preserve"> </w:t>
      </w:r>
      <w:r>
        <w:t xml:space="preserve">(thirty-one features).</w:t>
      </w:r>
    </w:p>
    <w:p>
      <w:r>
        <w:pict>
          <v:rect style="width:0;height:1.5pt" o:hralign="center" o:hrstd="t" o:hr="t"/>
        </w:pict>
      </w:r>
    </w:p>
    <w:bookmarkEnd w:id="20"/>
    <w:bookmarkStart w:id="21" w:name="X0722e7dddf7ce91fe92ca33d92930f1e5e8ea6b"/>
    <w:p>
      <w:pPr>
        <w:pStyle w:val="Heading2"/>
      </w:pPr>
      <w:r>
        <w:t xml:space="preserve">4. Conclusions</w:t>
      </w:r>
    </w:p>
    <w:p>
      <w:pPr>
        <w:pStyle w:val="FirstParagraph"/>
      </w:pPr>
      <w:r>
        <w:t xml:space="preserve">Literature machine learning can predict quasi-2D PeLED photon energy across a 405–810 nm compilation with useful accuracy if the descriptor set is kept chemically lean. In our analysis, thirteen variables—halide identity on the primary spacer, spacer-to-lead stoichiometry, selected lead-halide and A-site fractions, DMF solvent, and three topology/charge descriptors on hydrogen-complete structures—outperform a thirty-one-variable RFECV optimum on held-out data (</w:t>
      </w:r>
      <w:r>
        <w:rPr>
          <w:i/>
          <w:iCs/>
        </w:rPr>
        <w:t xml:space="preserve">R</w:t>
      </w:r>
      <w:r>
        <w:t xml:space="preserve">2</w:t>
      </w:r>
      <w:r>
        <w:t xml:space="preserve"> </w:t>
      </w:r>
      <w:r>
        <w:t xml:space="preserve">= 0.953 versus 0.920 for tuned SVR; RMSE 0.074 versus 0.097 eV). The result follows from a straightforward constraint: two hundred twenty-six training points cannot support three dozen adjustable descriptor dimensions without overfitting, even when cross-validation on the training partition suggests otherwise.</w:t>
      </w:r>
    </w:p>
    <w:p>
      <w:pPr>
        <w:pStyle w:val="BodyText"/>
      </w:pPr>
      <w:r>
        <w:t xml:space="preserve">The selected features align with confinement and composition arguments chemists already use to tune colour. SHAP rankings do not contradict that picture: halide and stoichiometry terms lead; secondary-spacer indices matter where mixed ligands appear.</w:t>
      </w:r>
    </w:p>
    <w:p>
      <w:pPr>
        <w:pStyle w:val="BodyText"/>
      </w:pPr>
      <w:r>
        <w:t xml:space="preserve">EQE, in contrast, is not predicted well from the same style of table (</w:t>
      </w:r>
      <w:r>
        <w:rPr>
          <w:i/>
          <w:iCs/>
        </w:rPr>
        <w:t xml:space="preserve">R</w:t>
      </w:r>
      <w:r>
        <w:t xml:space="preserve">2</w:t>
      </w:r>
      <w:r>
        <w:t xml:space="preserve"> </w:t>
      </w:r>
      <w:r>
        <w:t xml:space="preserve">roughly 0.5–0.6 at best). Transport-layer labels help modestly, but morphology and fabrication protocol dominate efficiency in ways literature columns do not capture. We would use the emission model to narrow spacer and ink choices before synthesis, and treat any EQE prediction as a weak prior until devices are built under a fixed stack and a written processing checklist shared across collaborators.</w:t>
      </w:r>
    </w:p>
    <w:p>
      <w:pPr>
        <w:pStyle w:val="BodyText"/>
      </w:pPr>
      <w:r>
        <w:t xml:space="preserve">Planned extensions include holding out entire reference DOIs from training, attaching explicit</w:t>
      </w:r>
      <w:r>
        <w:t xml:space="preserve"> </w:t>
      </w:r>
      <w:r>
        <w:rPr>
          <w:i/>
          <w:iCs/>
        </w:rPr>
        <w:t xml:space="preserve">n</w:t>
      </w:r>
      <w:r>
        <w:t xml:space="preserve">-phase indicators where XRD or optical data exist, and feeding back in-house devices fabricated under constant HTL/ETL conditions to test whether EQE becomes learnable once the hidden variables are finally controlled.</w:t>
      </w:r>
    </w:p>
    <w:p>
      <w:r>
        <w:pict>
          <v:rect style="width:0;height:1.5pt" o:hralign="center" o:hrstd="t" o:hr="t"/>
        </w:pict>
      </w:r>
    </w:p>
    <w:bookmarkEnd w:id="21"/>
    <w:bookmarkStart w:id="22" w:name="author-contributions"/>
    <w:p>
      <w:pPr>
        <w:pStyle w:val="Heading2"/>
      </w:pPr>
      <w:r>
        <w:t xml:space="preserve">Author Contributions</w:t>
      </w:r>
    </w:p>
    <w:p>
      <w:pPr>
        <w:pStyle w:val="FirstParagraph"/>
      </w:pPr>
      <w:r>
        <w:t xml:space="preserve">[To be completed]</w:t>
      </w:r>
    </w:p>
    <w:bookmarkEnd w:id="22"/>
    <w:bookmarkStart w:id="23" w:name="conflicts-of-interest"/>
    <w:p>
      <w:pPr>
        <w:pStyle w:val="Heading2"/>
      </w:pPr>
      <w:r>
        <w:t xml:space="preserve">Conflicts of Interest</w:t>
      </w:r>
    </w:p>
    <w:p>
      <w:pPr>
        <w:pStyle w:val="FirstParagraph"/>
      </w:pPr>
      <w:r>
        <w:t xml:space="preserve">The authors declare no competing financial interest.</w:t>
      </w:r>
    </w:p>
    <w:bookmarkEnd w:id="23"/>
    <w:bookmarkStart w:id="24" w:name="data-availability"/>
    <w:p>
      <w:pPr>
        <w:pStyle w:val="Heading2"/>
      </w:pPr>
      <w:r>
        <w:t xml:space="preserve">Data Availability</w:t>
      </w:r>
    </w:p>
    <w:p>
      <w:pPr>
        <w:pStyle w:val="FirstParagraph"/>
      </w:pPr>
      <w:r>
        <w:t xml:space="preserve">Analysis code and configuration files are available at [repository URL]. The curated workbook is available from the corresponding author on reasonable request.</w:t>
      </w:r>
    </w:p>
    <w:bookmarkEnd w:id="24"/>
    <w:bookmarkStart w:id="25" w:name="acknowledgments"/>
    <w:p>
      <w:pPr>
        <w:pStyle w:val="Heading2"/>
      </w:pPr>
      <w:r>
        <w:t xml:space="preserve">Acknowledgments</w:t>
      </w:r>
    </w:p>
    <w:p>
      <w:pPr>
        <w:pStyle w:val="FirstParagraph"/>
      </w:pPr>
      <w:r>
        <w:t xml:space="preserve">[To be completed]</w:t>
      </w:r>
    </w:p>
    <w:p>
      <w:r>
        <w:pict>
          <v:rect style="width:0;height:1.5pt" o:hralign="center" o:hrstd="t" o:hr="t"/>
        </w:pict>
      </w:r>
    </w:p>
    <w:bookmarkEnd w:id="25"/>
    <w:bookmarkStart w:id="26" w:name="references"/>
    <w:p>
      <w:pPr>
        <w:pStyle w:val="Heading2"/>
      </w:pPr>
      <w:r>
        <w:t xml:space="preserve">References</w:t>
      </w:r>
    </w:p>
    <w:p>
      <w:pPr>
        <w:pStyle w:val="FirstParagraph"/>
      </w:pPr>
      <w:r>
        <w:t xml:space="preserve">[1] L. N. Quan et al.</w:t>
      </w:r>
      <w:r>
        <w:t xml:space="preserve"> </w:t>
      </w:r>
      <w:r>
        <w:rPr>
          <w:b/>
          <w:bCs/>
        </w:rPr>
        <w:t xml:space="preserve">“Perovskites for Next-Generation Optical Sources.”</w:t>
      </w:r>
      <w:r>
        <w:t xml:space="preserve"> </w:t>
      </w:r>
      <w:r>
        <w:rPr>
          <w:i/>
          <w:iCs/>
        </w:rPr>
        <w:t xml:space="preserve">Chem. Rev.</w:t>
      </w:r>
      <w:r>
        <w:t xml:space="preserve"> </w:t>
      </w:r>
      <w:r>
        <w:rPr>
          <w:b/>
          <w:bCs/>
        </w:rPr>
        <w:t xml:space="preserve">2019</w:t>
      </w:r>
      <w:r>
        <w:t xml:space="preserve">,</w:t>
      </w:r>
      <w:r>
        <w:t xml:space="preserve"> </w:t>
      </w:r>
      <w:r>
        <w:rPr>
          <w:i/>
          <w:iCs/>
        </w:rPr>
        <w:t xml:space="preserve">119</w:t>
      </w:r>
      <w:r>
        <w:t xml:space="preserve">, 7444–7477.</w:t>
      </w:r>
    </w:p>
    <w:p>
      <w:pPr>
        <w:pStyle w:val="BodyText"/>
      </w:pPr>
      <w:r>
        <w:t xml:space="preserve">[2] M. Yuan et al.</w:t>
      </w:r>
      <w:r>
        <w:t xml:space="preserve"> </w:t>
      </w:r>
      <w:r>
        <w:rPr>
          <w:b/>
          <w:bCs/>
        </w:rPr>
        <w:t xml:space="preserve">“Perovskite Energy Funnels for Efficient Light-Emitting Diodes.”</w:t>
      </w:r>
      <w:r>
        <w:t xml:space="preserve"> </w:t>
      </w:r>
      <w:r>
        <w:rPr>
          <w:i/>
          <w:iCs/>
        </w:rPr>
        <w:t xml:space="preserve">Nat. Nanotechnol.</w:t>
      </w:r>
      <w:r>
        <w:t xml:space="preserve"> </w:t>
      </w:r>
      <w:r>
        <w:rPr>
          <w:b/>
          <w:bCs/>
        </w:rPr>
        <w:t xml:space="preserve">2016</w:t>
      </w:r>
      <w:r>
        <w:t xml:space="preserve">,</w:t>
      </w:r>
      <w:r>
        <w:t xml:space="preserve"> </w:t>
      </w:r>
      <w:r>
        <w:rPr>
          <w:i/>
          <w:iCs/>
        </w:rPr>
        <w:t xml:space="preserve">11</w:t>
      </w:r>
      <w:r>
        <w:t xml:space="preserve">, 872–877.</w:t>
      </w:r>
    </w:p>
    <w:p>
      <w:pPr>
        <w:pStyle w:val="BodyText"/>
      </w:pPr>
      <w:r>
        <w:t xml:space="preserve">[3] M. D. Smith et al.</w:t>
      </w:r>
      <w:r>
        <w:t xml:space="preserve"> </w:t>
      </w:r>
      <w:r>
        <w:rPr>
          <w:b/>
          <w:bCs/>
        </w:rPr>
        <w:t xml:space="preserve">“Mechanisms of Photoluminescence in Quasi-2D Lead-Halide Perovskites.”</w:t>
      </w:r>
      <w:r>
        <w:t xml:space="preserve"> </w:t>
      </w:r>
      <w:r>
        <w:rPr>
          <w:i/>
          <w:iCs/>
        </w:rPr>
        <w:t xml:space="preserve">Chem. Rev.</w:t>
      </w:r>
      <w:r>
        <w:t xml:space="preserve"> </w:t>
      </w:r>
      <w:r>
        <w:rPr>
          <w:b/>
          <w:bCs/>
        </w:rPr>
        <w:t xml:space="preserve">2019</w:t>
      </w:r>
      <w:r>
        <w:t xml:space="preserve">,</w:t>
      </w:r>
      <w:r>
        <w:t xml:space="preserve"> </w:t>
      </w:r>
      <w:r>
        <w:rPr>
          <w:i/>
          <w:iCs/>
        </w:rPr>
        <w:t xml:space="preserve">119</w:t>
      </w:r>
      <w:r>
        <w:t xml:space="preserve">, 3104–3139.</w:t>
      </w:r>
    </w:p>
    <w:p>
      <w:pPr>
        <w:pStyle w:val="BodyText"/>
      </w:pPr>
      <w:r>
        <w:t xml:space="preserve">[4] D. B. Straus, C. R. Kagan.</w:t>
      </w:r>
      <w:r>
        <w:t xml:space="preserve"> </w:t>
      </w:r>
      <w:r>
        <w:rPr>
          <w:b/>
          <w:bCs/>
        </w:rPr>
        <w:t xml:space="preserve">“Electrons, Excitons, and Phonons in Two-Dimensional Hybrid Perovskites.”</w:t>
      </w:r>
      <w:r>
        <w:t xml:space="preserve"> </w:t>
      </w:r>
      <w:r>
        <w:rPr>
          <w:i/>
          <w:iCs/>
        </w:rPr>
        <w:t xml:space="preserve">J. Phys. Chem. Lett.</w:t>
      </w:r>
      <w:r>
        <w:t xml:space="preserve"> </w:t>
      </w:r>
      <w:r>
        <w:rPr>
          <w:b/>
          <w:bCs/>
        </w:rPr>
        <w:t xml:space="preserve">2018</w:t>
      </w:r>
      <w:r>
        <w:t xml:space="preserve">,</w:t>
      </w:r>
      <w:r>
        <w:t xml:space="preserve"> </w:t>
      </w:r>
      <w:r>
        <w:rPr>
          <w:i/>
          <w:iCs/>
        </w:rPr>
        <w:t xml:space="preserve">9</w:t>
      </w:r>
      <w:r>
        <w:t xml:space="preserve">, 1434–1447.</w:t>
      </w:r>
    </w:p>
    <w:p>
      <w:pPr>
        <w:pStyle w:val="BodyText"/>
      </w:pPr>
      <w:r>
        <w:t xml:space="preserve">[5] Y. Mai et al.</w:t>
      </w:r>
      <w:r>
        <w:t xml:space="preserve"> </w:t>
      </w:r>
      <w:r>
        <w:rPr>
          <w:b/>
          <w:bCs/>
        </w:rPr>
        <w:t xml:space="preserve">“Machine Learning-Based Screening of Two-Dimensional Perovskite Organic Spacers.”</w:t>
      </w:r>
      <w:r>
        <w:t xml:space="preserve"> </w:t>
      </w:r>
      <w:r>
        <w:rPr>
          <w:i/>
          <w:iCs/>
        </w:rPr>
        <w:t xml:space="preserve">Adv. Compos. Hybrid Mater.</w:t>
      </w:r>
      <w:r>
        <w:t xml:space="preserve"> </w:t>
      </w:r>
      <w:r>
        <w:rPr>
          <w:b/>
          <w:bCs/>
        </w:rPr>
        <w:t xml:space="preserve">2024</w:t>
      </w:r>
      <w:r>
        <w:t xml:space="preserve">,</w:t>
      </w:r>
      <w:r>
        <w:t xml:space="preserve"> </w:t>
      </w:r>
      <w:r>
        <w:rPr>
          <w:i/>
          <w:iCs/>
        </w:rPr>
        <w:t xml:space="preserve">7</w:t>
      </w:r>
      <w:r>
        <w:t xml:space="preserve">, 104.</w:t>
      </w:r>
    </w:p>
    <w:p>
      <w:pPr>
        <w:pStyle w:val="BodyText"/>
      </w:pPr>
      <w:r>
        <w:t xml:space="preserve">[6] F. Lu et al.</w:t>
      </w:r>
      <w:r>
        <w:t xml:space="preserve"> </w:t>
      </w:r>
      <w:r>
        <w:rPr>
          <w:b/>
          <w:bCs/>
        </w:rPr>
        <w:t xml:space="preserve">“Machine Learning for Perovskite Optoelectronics: A Review.”</w:t>
      </w:r>
      <w:r>
        <w:t xml:space="preserve"> </w:t>
      </w:r>
      <w:r>
        <w:rPr>
          <w:i/>
          <w:iCs/>
        </w:rPr>
        <w:t xml:space="preserve">Adv. Photonics</w:t>
      </w:r>
      <w:r>
        <w:t xml:space="preserve"> </w:t>
      </w:r>
      <w:r>
        <w:rPr>
          <w:b/>
          <w:bCs/>
        </w:rPr>
        <w:t xml:space="preserve">2024</w:t>
      </w:r>
      <w:r>
        <w:t xml:space="preserve">,</w:t>
      </w:r>
      <w:r>
        <w:t xml:space="preserve"> </w:t>
      </w:r>
      <w:r>
        <w:rPr>
          <w:i/>
          <w:iCs/>
        </w:rPr>
        <w:t xml:space="preserve">6</w:t>
      </w:r>
      <w:r>
        <w:t xml:space="preserve">, 054001.</w:t>
      </w:r>
    </w:p>
    <w:p>
      <w:pPr>
        <w:pStyle w:val="BodyText"/>
      </w:pPr>
      <w:r>
        <w:t xml:space="preserve">[7] S. Wang et al.</w:t>
      </w:r>
      <w:r>
        <w:t xml:space="preserve"> </w:t>
      </w:r>
      <w:r>
        <w:rPr>
          <w:b/>
          <w:bCs/>
        </w:rPr>
        <w:t xml:space="preserve">“From Formability to Bandgap: Machine Learning Accelerates the Discovery and Application of Perovskite Materials.”</w:t>
      </w:r>
      <w:r>
        <w:t xml:space="preserve"> </w:t>
      </w:r>
      <w:r>
        <w:rPr>
          <w:i/>
          <w:iCs/>
        </w:rPr>
        <w:t xml:space="preserve">ACS Nano</w:t>
      </w:r>
      <w:r>
        <w:t xml:space="preserve"> </w:t>
      </w:r>
      <w:r>
        <w:rPr>
          <w:b/>
          <w:bCs/>
        </w:rPr>
        <w:t xml:space="preserve">2025</w:t>
      </w:r>
      <w:r>
        <w:t xml:space="preserve">,</w:t>
      </w:r>
      <w:r>
        <w:t xml:space="preserve"> </w:t>
      </w:r>
      <w:r>
        <w:rPr>
          <w:i/>
          <w:iCs/>
        </w:rPr>
        <w:t xml:space="preserve">19</w:t>
      </w:r>
      <w:r>
        <w:t xml:space="preserve">, 29049–29072.</w:t>
      </w:r>
    </w:p>
    <w:p>
      <w:pPr>
        <w:pStyle w:val="BodyText"/>
      </w:pPr>
      <w:r>
        <w:t xml:space="preserve">[8] Z. Wang, C. Chen et al.</w:t>
      </w:r>
      <w:r>
        <w:t xml:space="preserve"> </w:t>
      </w:r>
      <w:r>
        <w:rPr>
          <w:b/>
          <w:bCs/>
        </w:rPr>
        <w:t xml:space="preserve">“Data-Driven Design of Halide Perovskites for Efficient Green Light-Emitting Diodes via Machine Learning and DFT.”</w:t>
      </w:r>
      <w:r>
        <w:t xml:space="preserve"> </w:t>
      </w:r>
      <w:r>
        <w:rPr>
          <w:i/>
          <w:iCs/>
        </w:rPr>
        <w:t xml:space="preserve">J. Phys. Chem. C</w:t>
      </w:r>
      <w:r>
        <w:t xml:space="preserve"> </w:t>
      </w:r>
      <w:r>
        <w:rPr>
          <w:b/>
          <w:bCs/>
        </w:rPr>
        <w:t xml:space="preserve">2025</w:t>
      </w:r>
      <w:r>
        <w:t xml:space="preserve">,</w:t>
      </w:r>
      <w:r>
        <w:t xml:space="preserve"> </w:t>
      </w:r>
      <w:r>
        <w:rPr>
          <w:i/>
          <w:iCs/>
        </w:rPr>
        <w:t xml:space="preserve">129</w:t>
      </w:r>
      <w:r>
        <w:t xml:space="preserve">, 13542–13557.</w:t>
      </w:r>
    </w:p>
    <w:p>
      <w:pPr>
        <w:pStyle w:val="BodyText"/>
      </w:pPr>
      <w:r>
        <w:t xml:space="preserve">[9] W. Wang, Y. Li et al.</w:t>
      </w:r>
      <w:r>
        <w:t xml:space="preserve"> </w:t>
      </w:r>
      <w:r>
        <w:rPr>
          <w:b/>
          <w:bCs/>
        </w:rPr>
        <w:t xml:space="preserve">“Predicting the Photon Energy of Quasi-2D Lead Halide Perovskites from the Precursor Composition through Machine Learning.”</w:t>
      </w:r>
      <w:r>
        <w:t xml:space="preserve"> </w:t>
      </w:r>
      <w:r>
        <w:rPr>
          <w:i/>
          <w:iCs/>
        </w:rPr>
        <w:t xml:space="preserve">Nanoscale Adv.</w:t>
      </w:r>
      <w:r>
        <w:t xml:space="preserve"> </w:t>
      </w:r>
      <w:r>
        <w:rPr>
          <w:b/>
          <w:bCs/>
        </w:rPr>
        <w:t xml:space="preserve">2022</w:t>
      </w:r>
      <w:r>
        <w:t xml:space="preserve">,</w:t>
      </w:r>
      <w:r>
        <w:t xml:space="preserve"> </w:t>
      </w:r>
      <w:r>
        <w:rPr>
          <w:i/>
          <w:iCs/>
        </w:rPr>
        <w:t xml:space="preserve">4</w:t>
      </w:r>
      <w:r>
        <w:t xml:space="preserve">, 1632–1638.</w:t>
      </w:r>
    </w:p>
    <w:p>
      <w:pPr>
        <w:pStyle w:val="BodyText"/>
      </w:pPr>
      <w:r>
        <w:t xml:space="preserve">[10] L. Zhang et al.</w:t>
      </w:r>
      <w:r>
        <w:t xml:space="preserve"> </w:t>
      </w:r>
      <w:r>
        <w:rPr>
          <w:b/>
          <w:bCs/>
        </w:rPr>
        <w:t xml:space="preserve">“Deep Learning for Additive Screening in Perovskite Light-Emitting Diodes.”</w:t>
      </w:r>
      <w:r>
        <w:t xml:space="preserve"> </w:t>
      </w:r>
      <w:r>
        <w:rPr>
          <w:i/>
          <w:iCs/>
        </w:rPr>
        <w:t xml:space="preserve">Angew. Chem. Int. Ed.</w:t>
      </w:r>
      <w:r>
        <w:t xml:space="preserve"> </w:t>
      </w:r>
      <w:r>
        <w:rPr>
          <w:b/>
          <w:bCs/>
        </w:rPr>
        <w:t xml:space="preserve">2022</w:t>
      </w:r>
      <w:r>
        <w:t xml:space="preserve">,</w:t>
      </w:r>
      <w:r>
        <w:t xml:space="preserve"> </w:t>
      </w:r>
      <w:r>
        <w:rPr>
          <w:i/>
          <w:iCs/>
        </w:rPr>
        <w:t xml:space="preserve">61</w:t>
      </w:r>
      <w:r>
        <w:t xml:space="preserve">, e202209337.</w:t>
      </w:r>
    </w:p>
    <w:p>
      <w:pPr>
        <w:pStyle w:val="BodyText"/>
      </w:pPr>
      <w:r>
        <w:t xml:space="preserve">[11] K. Lin et al.</w:t>
      </w:r>
      <w:r>
        <w:t xml:space="preserve"> </w:t>
      </w:r>
      <w:r>
        <w:rPr>
          <w:b/>
          <w:bCs/>
        </w:rPr>
        <w:t xml:space="preserve">“Perovskite Light-Emitting Diodes with External Quantum Efficiency Exceeding 20 Per Cent.”</w:t>
      </w:r>
      <w:r>
        <w:t xml:space="preserve"> </w:t>
      </w:r>
      <w:r>
        <w:rPr>
          <w:i/>
          <w:iCs/>
        </w:rPr>
        <w:t xml:space="preserve">Nature</w:t>
      </w:r>
      <w:r>
        <w:t xml:space="preserve"> </w:t>
      </w:r>
      <w:r>
        <w:rPr>
          <w:b/>
          <w:bCs/>
        </w:rPr>
        <w:t xml:space="preserve">2018</w:t>
      </w:r>
      <w:r>
        <w:t xml:space="preserve">,</w:t>
      </w:r>
      <w:r>
        <w:t xml:space="preserve"> </w:t>
      </w:r>
      <w:r>
        <w:rPr>
          <w:i/>
          <w:iCs/>
        </w:rPr>
        <w:t xml:space="preserve">562</w:t>
      </w:r>
      <w:r>
        <w:t xml:space="preserve">, 245–248.</w:t>
      </w:r>
    </w:p>
    <w:p>
      <w:pPr>
        <w:pStyle w:val="BodyText"/>
      </w:pPr>
      <w:r>
        <w:t xml:space="preserve">[12] S. M. Lundberg, S.-I. Lee.</w:t>
      </w:r>
      <w:r>
        <w:t xml:space="preserve"> </w:t>
      </w:r>
      <w:r>
        <w:rPr>
          <w:b/>
          <w:bCs/>
        </w:rPr>
        <w:t xml:space="preserve">“A Unified Approach to Interpreting Model Predictions.”</w:t>
      </w:r>
      <w:r>
        <w:t xml:space="preserve"> </w:t>
      </w:r>
      <w:r>
        <w:rPr>
          <w:i/>
          <w:iCs/>
        </w:rPr>
        <w:t xml:space="preserve">Adv. Neural Inf. Process. Syst.</w:t>
      </w:r>
      <w:r>
        <w:t xml:space="preserve"> </w:t>
      </w:r>
      <w:r>
        <w:rPr>
          <w:b/>
          <w:bCs/>
        </w:rPr>
        <w:t xml:space="preserve">2017</w:t>
      </w:r>
      <w:r>
        <w:t xml:space="preserve">,</w:t>
      </w:r>
      <w:r>
        <w:t xml:space="preserve"> </w:t>
      </w:r>
      <w:r>
        <w:rPr>
          <w:i/>
          <w:iCs/>
        </w:rPr>
        <w:t xml:space="preserve">30</w:t>
      </w:r>
      <w:r>
        <w:t xml:space="preserve">, 4765–4774.</w:t>
      </w:r>
    </w:p>
    <w:p>
      <w:r>
        <w:pict>
          <v:rect style="width:0;height:1.5pt" o:hralign="center" o:hrstd="t" o:hr="t"/>
        </w:pict>
      </w:r>
    </w:p>
    <w:p>
      <w:pPr>
        <w:pStyle w:val="FirstParagraph"/>
      </w:pPr>
      <w:r>
        <w:rPr>
          <w:i/>
          <w:iCs/>
        </w:rPr>
        <w:t xml:space="preserve">Primary numerical results:</w:t>
      </w:r>
      <w:r>
        <w:rPr>
          <w:i/>
          <w:iCs/>
        </w:rPr>
        <w:t xml:space="preserve"> </w:t>
      </w:r>
      <w:r>
        <w:rPr>
          <w:rStyle w:val="VerbatimChar"/>
          <w:i/>
          <w:iCs/>
        </w:rPr>
        <w:t xml:space="preserve">add_hydrogens_tuned_select_from_model.ipynb</w:t>
      </w:r>
      <w:r>
        <w:rPr>
          <w:i/>
          <w:iCs/>
        </w:rPr>
        <w:t xml:space="preserve"> </w:t>
      </w:r>
      <w:r>
        <w:rPr>
          <w:i/>
          <w:iCs/>
        </w:rPr>
        <w:t xml:space="preserve">(13 features) and</w:t>
      </w:r>
      <w:r>
        <w:rPr>
          <w:i/>
          <w:iCs/>
        </w:rPr>
        <w:t xml:space="preserve"> </w:t>
      </w:r>
      <w:r>
        <w:rPr>
          <w:rStyle w:val="VerbatimChar"/>
          <w:i/>
          <w:iCs/>
        </w:rPr>
        <w:t xml:space="preserve">add_hydrogens_tuned_rfecv.ipynb</w:t>
      </w:r>
      <w:r>
        <w:rPr>
          <w:i/>
          <w:iCs/>
        </w:rPr>
        <w:t xml:space="preserve"> </w:t>
      </w:r>
      <w:r>
        <w:rPr>
          <w:i/>
          <w:iCs/>
        </w:rPr>
        <w:t xml:space="preserve">(31 features). Supporting tables and ablations:</w:t>
      </w:r>
      <w:r>
        <w:rPr>
          <w:i/>
          <w:iCs/>
        </w:rPr>
        <w:t xml:space="preserve"> </w:t>
      </w:r>
      <w:r>
        <w:rPr>
          <w:rStyle w:val="VerbatimChar"/>
          <w:i/>
          <w:iCs/>
        </w:rPr>
        <w:t xml:space="preserve">SUPPORTING_INFORMATION.md</w:t>
      </w:r>
      <w:r>
        <w:rPr>
          <w:i/>
          <w:iCs/>
        </w:rPr>
        <w:t xml:space="preser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2026-05-24T12:02:48Z</dcterms:created>
  <dcterms:modified xsi:type="dcterms:W3CDTF">2026-05-24T12:02:48Z</dcterms:modified>
</cp:coreProperties>
</file>

<file path=docProps/custom.xml><?xml version="1.0" encoding="utf-8"?>
<Properties xmlns="http://schemas.openxmlformats.org/officeDocument/2006/custom-properties" xmlns:vt="http://schemas.openxmlformats.org/officeDocument/2006/docPropsVTypes"/>
</file>