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7F272" w14:textId="77777777" w:rsidR="001A1412" w:rsidRPr="00C502FF" w:rsidRDefault="001A1412" w:rsidP="00C502FF">
      <w:pPr>
        <w:spacing w:line="480" w:lineRule="auto"/>
        <w:jc w:val="both"/>
        <w:rPr>
          <w:rFonts w:ascii="Times New Roman" w:hAnsi="Times New Roman" w:cs="Times New Roman"/>
          <w:b/>
          <w:bCs/>
        </w:rPr>
      </w:pPr>
      <w:r w:rsidRPr="00C502FF">
        <w:rPr>
          <w:rFonts w:ascii="Times New Roman" w:hAnsi="Times New Roman" w:cs="Times New Roman"/>
          <w:b/>
          <w:bCs/>
        </w:rPr>
        <w:t>"Deciphering Low-Dimensional Perovskites Emission Properties Using Practical and Machine Learning Approaches"</w:t>
      </w:r>
    </w:p>
    <w:p w14:paraId="68FDA979" w14:textId="77777777" w:rsidR="00C502FF" w:rsidRPr="00C502FF" w:rsidRDefault="001A1412" w:rsidP="00C502FF">
      <w:pPr>
        <w:spacing w:line="480" w:lineRule="auto"/>
        <w:jc w:val="both"/>
        <w:rPr>
          <w:rFonts w:ascii="Times New Roman" w:hAnsi="Times New Roman" w:cs="Times New Roman"/>
        </w:rPr>
      </w:pPr>
      <w:r w:rsidRPr="00C502FF">
        <w:rPr>
          <w:rFonts w:ascii="Times New Roman" w:hAnsi="Times New Roman" w:cs="Times New Roman"/>
        </w:rPr>
        <w:pict w14:anchorId="359756A5">
          <v:rect id="_x0000_i1025" style="width:0;height:1.5pt" o:hralign="center" o:hrstd="t" o:hr="t" fillcolor="#a0a0a0" stroked="f"/>
        </w:pict>
      </w:r>
    </w:p>
    <w:p w14:paraId="4EA2B1E3" w14:textId="77777777" w:rsidR="00C502FF" w:rsidRPr="00C502FF" w:rsidRDefault="00C502FF" w:rsidP="00C502FF">
      <w:pPr>
        <w:spacing w:line="480" w:lineRule="auto"/>
        <w:jc w:val="both"/>
        <w:rPr>
          <w:rFonts w:ascii="Times New Roman" w:hAnsi="Times New Roman" w:cs="Times New Roman"/>
          <w:b/>
          <w:bCs/>
        </w:rPr>
      </w:pPr>
      <w:r w:rsidRPr="00C502FF">
        <w:rPr>
          <w:rFonts w:ascii="Times New Roman" w:hAnsi="Times New Roman" w:cs="Times New Roman"/>
          <w:b/>
          <w:bCs/>
        </w:rPr>
        <w:t>1.1 The Macro Imperative for Advanced Emissive Materials</w:t>
      </w:r>
    </w:p>
    <w:p w14:paraId="528F4321" w14:textId="3830C9D0" w:rsidR="00C502FF" w:rsidRPr="00C502FF" w:rsidRDefault="00C502FF" w:rsidP="00E82ADD">
      <w:pPr>
        <w:spacing w:line="480" w:lineRule="auto"/>
        <w:ind w:firstLine="720"/>
        <w:jc w:val="both"/>
        <w:rPr>
          <w:rFonts w:ascii="Times New Roman" w:hAnsi="Times New Roman" w:cs="Times New Roman"/>
        </w:rPr>
      </w:pPr>
      <w:r w:rsidRPr="00C502FF">
        <w:rPr>
          <w:rFonts w:ascii="Times New Roman" w:hAnsi="Times New Roman" w:cs="Times New Roman"/>
        </w:rPr>
        <w:t>Modern display and lighting technologies are built around one central requirement</w:t>
      </w:r>
      <w:r>
        <w:rPr>
          <w:rFonts w:ascii="Times New Roman" w:hAnsi="Times New Roman" w:cs="Times New Roman"/>
        </w:rPr>
        <w:t>: to generate light of a specific colour at high brightness with minimal energy loss</w:t>
      </w:r>
      <w:r w:rsidRPr="00C502FF">
        <w:rPr>
          <w:rFonts w:ascii="Times New Roman" w:hAnsi="Times New Roman" w:cs="Times New Roman"/>
        </w:rPr>
        <w:t xml:space="preserve">. For several decades, three main families of </w:t>
      </w:r>
      <w:r>
        <w:rPr>
          <w:rFonts w:ascii="Times New Roman" w:hAnsi="Times New Roman" w:cs="Times New Roman"/>
        </w:rPr>
        <w:t>light-emitting</w:t>
      </w:r>
      <w:r w:rsidRPr="00C502FF">
        <w:rPr>
          <w:rFonts w:ascii="Times New Roman" w:hAnsi="Times New Roman" w:cs="Times New Roman"/>
        </w:rPr>
        <w:t xml:space="preserve"> materials have </w:t>
      </w:r>
      <w:r>
        <w:rPr>
          <w:rFonts w:ascii="Times New Roman" w:hAnsi="Times New Roman" w:cs="Times New Roman"/>
        </w:rPr>
        <w:t>tried to fulfil those requirements:</w:t>
      </w:r>
      <w:r w:rsidRPr="00C502FF">
        <w:rPr>
          <w:rFonts w:ascii="Times New Roman" w:hAnsi="Times New Roman" w:cs="Times New Roman"/>
        </w:rPr>
        <w:t xml:space="preserve"> organic light-emitting diodes (OLEDs), conventional III-V inorganic LEDs based on gallium nitride (GaN) and related compounds, and colloidal quantum dot LEDs (QLEDs) based on cadmium selenide (CdSe) or indium phosphide (InP) nanocrystals. Each of these material systems has delivered real progress in certain areas while falling short in others. None has fully satisfied </w:t>
      </w:r>
      <w:r w:rsidR="00C10C4E">
        <w:rPr>
          <w:rFonts w:ascii="Times New Roman" w:hAnsi="Times New Roman" w:cs="Times New Roman"/>
        </w:rPr>
        <w:t>the next-generation display standards now in place, and closing that gap has become a central challenge</w:t>
      </w:r>
      <w:r w:rsidRPr="00C502FF">
        <w:rPr>
          <w:rFonts w:ascii="Times New Roman" w:hAnsi="Times New Roman" w:cs="Times New Roman"/>
        </w:rPr>
        <w:t xml:space="preserve"> in applied materials science</w:t>
      </w:r>
      <w:r w:rsidR="00E82ADD">
        <w:rPr>
          <w:rFonts w:ascii="Times New Roman" w:hAnsi="Times New Roman" w:cs="Times New Roman"/>
        </w:rPr>
        <w:t>.</w:t>
      </w:r>
      <w:r w:rsidR="00E82ADD">
        <w:rPr>
          <w:rFonts w:ascii="Times New Roman" w:hAnsi="Times New Roman" w:cs="Times New Roman"/>
        </w:rPr>
        <w:fldChar w:fldCharType="begin">
          <w:fldData xml:space="preserve">PEVuZE5vdGU+PENpdGU+PEF1dGhvcj5LbzwvQXV0aG9yPjxZZWFyPjIwMjU8L1llYXI+PFJlY051
bT4zMDwvUmVjTnVtPjxEaXNwbGF5VGV4dD5bMSwgMl08L0Rpc3BsYXlUZXh0PjxyZWNvcmQ+PHJl
Yy1udW1iZXI+MzA8L3JlYy1udW1iZXI+PGZvcmVpZ24ta2V5cz48a2V5IGFwcD0iRU4iIGRiLWlk
PSJ3OXdwZXc5cmEyczJzcWVwc3ZhdmRzZjJ6eDU1enN6ZmZ3YWUiIHRpbWVzdGFtcD0iMTc4MDkx
MjAyMSI+MzA8L2tleT48L2ZvcmVpZ24ta2V5cz48cmVmLXR5cGUgbmFtZT0iSm91cm5hbCBBcnRp
Y2xlIj4xNzwvcmVmLXR5cGU+PGNvbnRyaWJ1dG9ycz48YXV0aG9ycz48YXV0aG9yPktvLCBQdWkg
S2VpPC9hdXRob3I+PGF1dGhvcj5HZSwgSmlhbmNoYW88L2F1dGhvcj48YXV0aG9yPkRpbmcsIFBl
bmdibzwvYXV0aG9yPjxhdXRob3I+Q2hlbiwgRGV6aGFuZzwvYXV0aG9yPjxhdXRob3I+VHNhbmcs
IEhvaSBMYW0gVGFtbXk8L2F1dGhvcj48YXV0aG9yPkt1bWFyLCBOaXRpc2g8L2F1dGhvcj48YXV0
aG9yPkhhbHBlcnQsIEpvbmF0aGFuIEUuPC9hdXRob3I+PC9hdXRob3JzPjwvY29udHJpYnV0b3Jz
Pjx0aXRsZXM+PHRpdGxlPlRoZSBEZWVwZXN0IEJsdWU6IE1ham9yIEFkdmFuY2VzIGFuZCBDaGFs
bGVuZ2VzIGluIERlZXAgQmx1ZSBFbWl0dGluZyBRdWFzaS0yRCBhbmQgTmFub2NyeXN0YWxsaW5l
IFBlcm92c2tpdGUgTEVEczwvdGl0bGU+PHNlY29uZGFyeS10aXRsZT5BZHZhbmNlZCBNYXRlcmlh
bHM8L3NlY29uZGFyeS10aXRsZT48L3RpdGxlcz48cGVyaW9kaWNhbD48ZnVsbC10aXRsZT5BZHZh
bmNlZCBNYXRlcmlhbHM8L2Z1bGwtdGl0bGU+PC9wZXJpb2RpY2FsPjxwYWdlcz4yNDA3NzY0PC9w
YWdlcz48dm9sdW1lPjM3PC92b2x1bWU+PG51bWJlcj4yMzwvbnVtYmVyPjxrZXl3b3Jkcz48a2V5
d29yZD5kZWVwLWJsdWU8L2tleXdvcmQ+PGtleXdvcmQ+bGlnaHQtZW1pdHRpbmcgZGlvZGVzPC9r
ZXl3b3JkPjxrZXl3b3JkPm1ldGFsIGhhbGlkZSBwZXJvdnNraXRlPC9rZXl3b3JkPjxrZXl3b3Jk
Pm5hbm9tYXRlcmlhbHM8L2tleXdvcmQ+PGtleXdvcmQ+b3B0b2VsZWN0cm9uaWNzPC9rZXl3b3Jk
Pjwva2V5d29yZHM+PGRhdGVzPjx5ZWFyPjIwMjU8L3llYXI+PHB1Yi1kYXRlcz48ZGF0ZT4yMDI1
LzA2LzAxPC9kYXRlPjwvcHViLWRhdGVzPjwvZGF0ZXM+PHB1Ymxpc2hlcj5Kb2huIFdpbGV5ICZh
bXA7IFNvbnMsIEx0ZDwvcHVibGlzaGVyPjxpc2JuPjA5MzUtOTY0ODwvaXNibj48dXJscz48cmVs
YXRlZC11cmxzPjx1cmw+aHR0cHM6Ly9kb2kub3JnLzEwLjEwMDIvYWRtYS4yMDI0MDc3NjQ8L3Vy
bD48L3JlbGF0ZWQtdXJscz48L3VybHM+PGVsZWN0cm9uaWMtcmVzb3VyY2UtbnVtPmh0dHBzOi8v
ZG9pLm9yZy8xMC4xMDAyL2FkbWEuMjAyNDA3NzY0PC9lbGVjdHJvbmljLXJlc291cmNlLW51bT48
YWNjZXNzLWRhdGU+MjAyNi8wNi8wODwvYWNjZXNzLWRhdGU+PC9yZWNvcmQ+PC9DaXRlPjxDaXRl
PjxBdXRob3I+S3VtYXI8L0F1dGhvcj48WWVhcj4yMDIyPC9ZZWFyPjxSZWNOdW0+NDwvUmVjTnVt
PjxyZWNvcmQ+PHJlYy1udW1iZXI+NDwvcmVjLW51bWJlcj48Zm9yZWlnbi1rZXlzPjxrZXkgYXBw
PSJFTiIgZGItaWQ9Inc5d3BldzlyYTJzMnNxZXBzdmF2ZHNmMnp4NTV6c3pmZndhZSIgdGltZXN0
YW1wPSIxNzc5NjA4NDE0Ij40PC9rZXk+PC9mb3JlaWduLWtleXM+PHJlZi10eXBlIG5hbWU9Ikpv
dXJuYWwgQXJ0aWNsZSI+MTc8L3JlZi10eXBlPjxjb250cmlidXRvcnM+PGF1dGhvcnM+PGF1dGhv
cj5LdW1hciwgR3VuZGFtIFNhbmRlZXA8L2F1dGhvcj48YXV0aG9yPlN1bXVrYW0sIFJhbmFkZWVw
IFJhajwvYXV0aG9yPjxhdXRob3I+UmFqYWJvaW5hLCBSYWtlc2ggS3VtYXI8L2F1dGhvcj48YXV0
aG9yPlNhdnUsIFJhbXUgTmFpZHU8L2F1dGhvcj48YXV0aG9yPlNyaW5pdmFzLCBNdWRhdmF0PC9h
dXRob3I+PGF1dGhvcj5CYW5hdm90aCwgTXVyYWxpPC9hdXRob3I+PC9hdXRob3JzPjwvY29udHJp
YnV0b3JzPjx0aXRsZXM+PHRpdGxlPlBlcm92c2tpdGUgTmFub3dpcmVzIGZvciBOZXh0LUdlbmVy
YXRpb24gT3B0b2VsZWN0cm9uaWMgRGV2aWNlczogTGFiIHRvIEZhYjwvdGl0bGU+PHNlY29uZGFy
eS10aXRsZT5BQ1MgQXBwbGllZCBFbmVyZ3kgTWF0ZXJpYWxzPC9zZWNvbmRhcnktdGl0bGU+PC90
aXRsZXM+PHBlcmlvZGljYWw+PGZ1bGwtdGl0bGU+QUNTIEFwcGxpZWQgRW5lcmd5IE1hdGVyaWFs
czwvZnVsbC10aXRsZT48L3BlcmlvZGljYWw+PHBhZ2VzPjEzNDItMTM3NzwvcGFnZXM+PHZvbHVt
ZT41PC92b2x1bWU+PG51bWJlcj4yPC9udW1iZXI+PGRhdGVzPjx5ZWFyPjIwMjI8L3llYXI+PHB1
Yi1kYXRlcz48ZGF0ZT4yMDIyLzAyLzI4PC9kYXRlPjwvcHViLWRhdGVzPjwvZGF0ZXM+PHB1Ymxp
c2hlcj5BbWVyaWNhbiBDaGVtaWNhbCBTb2NpZXR5PC9wdWJsaXNoZXI+PHVybHM+PHJlbGF0ZWQt
dXJscz48dXJsPmh0dHBzOi8vZG9pLm9yZy8xMC4xMDIxL2Fjc2FlbS4xYzAzMjg0PC91cmw+PC9y
ZWxhdGVkLXVybHM+PC91cmxzPjxlbGVjdHJvbmljLXJlc291cmNlLW51bT4xMC4xMDIxL2Fjc2Fl
bS4xYzAzMjg0PC9lbGVjdHJvbmljLXJlc291cmNlLW51bT48L3JlY29yZD48L0NpdGU+PC9FbmRO
b3RlPn==
</w:fldData>
        </w:fldChar>
      </w:r>
      <w:r w:rsidR="00E82ADD">
        <w:rPr>
          <w:rFonts w:ascii="Times New Roman" w:hAnsi="Times New Roman" w:cs="Times New Roman"/>
        </w:rPr>
        <w:instrText xml:space="preserve"> ADDIN EN.CITE </w:instrText>
      </w:r>
      <w:r w:rsidR="00E82ADD">
        <w:rPr>
          <w:rFonts w:ascii="Times New Roman" w:hAnsi="Times New Roman" w:cs="Times New Roman"/>
        </w:rPr>
        <w:fldChar w:fldCharType="begin">
          <w:fldData xml:space="preserve">PEVuZE5vdGU+PENpdGU+PEF1dGhvcj5LbzwvQXV0aG9yPjxZZWFyPjIwMjU8L1llYXI+PFJlY051
bT4zMDwvUmVjTnVtPjxEaXNwbGF5VGV4dD5bMSwgMl08L0Rpc3BsYXlUZXh0PjxyZWNvcmQ+PHJl
Yy1udW1iZXI+MzA8L3JlYy1udW1iZXI+PGZvcmVpZ24ta2V5cz48a2V5IGFwcD0iRU4iIGRiLWlk
PSJ3OXdwZXc5cmEyczJzcWVwc3ZhdmRzZjJ6eDU1enN6ZmZ3YWUiIHRpbWVzdGFtcD0iMTc4MDkx
MjAyMSI+MzA8L2tleT48L2ZvcmVpZ24ta2V5cz48cmVmLXR5cGUgbmFtZT0iSm91cm5hbCBBcnRp
Y2xlIj4xNzwvcmVmLXR5cGU+PGNvbnRyaWJ1dG9ycz48YXV0aG9ycz48YXV0aG9yPktvLCBQdWkg
S2VpPC9hdXRob3I+PGF1dGhvcj5HZSwgSmlhbmNoYW88L2F1dGhvcj48YXV0aG9yPkRpbmcsIFBl
bmdibzwvYXV0aG9yPjxhdXRob3I+Q2hlbiwgRGV6aGFuZzwvYXV0aG9yPjxhdXRob3I+VHNhbmcs
IEhvaSBMYW0gVGFtbXk8L2F1dGhvcj48YXV0aG9yPkt1bWFyLCBOaXRpc2g8L2F1dGhvcj48YXV0
aG9yPkhhbHBlcnQsIEpvbmF0aGFuIEUuPC9hdXRob3I+PC9hdXRob3JzPjwvY29udHJpYnV0b3Jz
Pjx0aXRsZXM+PHRpdGxlPlRoZSBEZWVwZXN0IEJsdWU6IE1ham9yIEFkdmFuY2VzIGFuZCBDaGFs
bGVuZ2VzIGluIERlZXAgQmx1ZSBFbWl0dGluZyBRdWFzaS0yRCBhbmQgTmFub2NyeXN0YWxsaW5l
IFBlcm92c2tpdGUgTEVEczwvdGl0bGU+PHNlY29uZGFyeS10aXRsZT5BZHZhbmNlZCBNYXRlcmlh
bHM8L3NlY29uZGFyeS10aXRsZT48L3RpdGxlcz48cGVyaW9kaWNhbD48ZnVsbC10aXRsZT5BZHZh
bmNlZCBNYXRlcmlhbHM8L2Z1bGwtdGl0bGU+PC9wZXJpb2RpY2FsPjxwYWdlcz4yNDA3NzY0PC9w
YWdlcz48dm9sdW1lPjM3PC92b2x1bWU+PG51bWJlcj4yMzwvbnVtYmVyPjxrZXl3b3Jkcz48a2V5
d29yZD5kZWVwLWJsdWU8L2tleXdvcmQ+PGtleXdvcmQ+bGlnaHQtZW1pdHRpbmcgZGlvZGVzPC9r
ZXl3b3JkPjxrZXl3b3JkPm1ldGFsIGhhbGlkZSBwZXJvdnNraXRlPC9rZXl3b3JkPjxrZXl3b3Jk
Pm5hbm9tYXRlcmlhbHM8L2tleXdvcmQ+PGtleXdvcmQ+b3B0b2VsZWN0cm9uaWNzPC9rZXl3b3Jk
Pjwva2V5d29yZHM+PGRhdGVzPjx5ZWFyPjIwMjU8L3llYXI+PHB1Yi1kYXRlcz48ZGF0ZT4yMDI1
LzA2LzAxPC9kYXRlPjwvcHViLWRhdGVzPjwvZGF0ZXM+PHB1Ymxpc2hlcj5Kb2huIFdpbGV5ICZh
bXA7IFNvbnMsIEx0ZDwvcHVibGlzaGVyPjxpc2JuPjA5MzUtOTY0ODwvaXNibj48dXJscz48cmVs
YXRlZC11cmxzPjx1cmw+aHR0cHM6Ly9kb2kub3JnLzEwLjEwMDIvYWRtYS4yMDI0MDc3NjQ8L3Vy
bD48L3JlbGF0ZWQtdXJscz48L3VybHM+PGVsZWN0cm9uaWMtcmVzb3VyY2UtbnVtPmh0dHBzOi8v
ZG9pLm9yZy8xMC4xMDAyL2FkbWEuMjAyNDA3NzY0PC9lbGVjdHJvbmljLXJlc291cmNlLW51bT48
YWNjZXNzLWRhdGU+MjAyNi8wNi8wODwvYWNjZXNzLWRhdGU+PC9yZWNvcmQ+PC9DaXRlPjxDaXRl
PjxBdXRob3I+S3VtYXI8L0F1dGhvcj48WWVhcj4yMDIyPC9ZZWFyPjxSZWNOdW0+NDwvUmVjTnVt
PjxyZWNvcmQ+PHJlYy1udW1iZXI+NDwvcmVjLW51bWJlcj48Zm9yZWlnbi1rZXlzPjxrZXkgYXBw
PSJFTiIgZGItaWQ9Inc5d3BldzlyYTJzMnNxZXBzdmF2ZHNmMnp4NTV6c3pmZndhZSIgdGltZXN0
YW1wPSIxNzc5NjA4NDE0Ij40PC9rZXk+PC9mb3JlaWduLWtleXM+PHJlZi10eXBlIG5hbWU9Ikpv
dXJuYWwgQXJ0aWNsZSI+MTc8L3JlZi10eXBlPjxjb250cmlidXRvcnM+PGF1dGhvcnM+PGF1dGhv
cj5LdW1hciwgR3VuZGFtIFNhbmRlZXA8L2F1dGhvcj48YXV0aG9yPlN1bXVrYW0sIFJhbmFkZWVw
IFJhajwvYXV0aG9yPjxhdXRob3I+UmFqYWJvaW5hLCBSYWtlc2ggS3VtYXI8L2F1dGhvcj48YXV0
aG9yPlNhdnUsIFJhbXUgTmFpZHU8L2F1dGhvcj48YXV0aG9yPlNyaW5pdmFzLCBNdWRhdmF0PC9h
dXRob3I+PGF1dGhvcj5CYW5hdm90aCwgTXVyYWxpPC9hdXRob3I+PC9hdXRob3JzPjwvY29udHJp
YnV0b3JzPjx0aXRsZXM+PHRpdGxlPlBlcm92c2tpdGUgTmFub3dpcmVzIGZvciBOZXh0LUdlbmVy
YXRpb24gT3B0b2VsZWN0cm9uaWMgRGV2aWNlczogTGFiIHRvIEZhYjwvdGl0bGU+PHNlY29uZGFy
eS10aXRsZT5BQ1MgQXBwbGllZCBFbmVyZ3kgTWF0ZXJpYWxzPC9zZWNvbmRhcnktdGl0bGU+PC90
aXRsZXM+PHBlcmlvZGljYWw+PGZ1bGwtdGl0bGU+QUNTIEFwcGxpZWQgRW5lcmd5IE1hdGVyaWFs
czwvZnVsbC10aXRsZT48L3BlcmlvZGljYWw+PHBhZ2VzPjEzNDItMTM3NzwvcGFnZXM+PHZvbHVt
ZT41PC92b2x1bWU+PG51bWJlcj4yPC9udW1iZXI+PGRhdGVzPjx5ZWFyPjIwMjI8L3llYXI+PHB1
Yi1kYXRlcz48ZGF0ZT4yMDIyLzAyLzI4PC9kYXRlPjwvcHViLWRhdGVzPjwvZGF0ZXM+PHB1Ymxp
c2hlcj5BbWVyaWNhbiBDaGVtaWNhbCBTb2NpZXR5PC9wdWJsaXNoZXI+PHVybHM+PHJlbGF0ZWQt
dXJscz48dXJsPmh0dHBzOi8vZG9pLm9yZy8xMC4xMDIxL2Fjc2FlbS4xYzAzMjg0PC91cmw+PC9y
ZWxhdGVkLXVybHM+PC91cmxzPjxlbGVjdHJvbmljLXJlc291cmNlLW51bT4xMC4xMDIxL2Fjc2Fl
bS4xYzAzMjg0PC9lbGVjdHJvbmljLXJlc291cmNlLW51bT48L3JlY29yZD48L0NpdGU+PC9FbmRO
b3RlPn==
</w:fldData>
        </w:fldChar>
      </w:r>
      <w:r w:rsidR="00E82ADD">
        <w:rPr>
          <w:rFonts w:ascii="Times New Roman" w:hAnsi="Times New Roman" w:cs="Times New Roman"/>
        </w:rPr>
        <w:instrText xml:space="preserve"> ADDIN EN.CITE.DATA </w:instrText>
      </w:r>
      <w:r w:rsidR="00E82ADD">
        <w:rPr>
          <w:rFonts w:ascii="Times New Roman" w:hAnsi="Times New Roman" w:cs="Times New Roman"/>
        </w:rPr>
      </w:r>
      <w:r w:rsidR="00E82ADD">
        <w:rPr>
          <w:rFonts w:ascii="Times New Roman" w:hAnsi="Times New Roman" w:cs="Times New Roman"/>
        </w:rPr>
        <w:fldChar w:fldCharType="end"/>
      </w:r>
      <w:r w:rsidR="00E82ADD">
        <w:rPr>
          <w:rFonts w:ascii="Times New Roman" w:hAnsi="Times New Roman" w:cs="Times New Roman"/>
        </w:rPr>
        <w:fldChar w:fldCharType="separate"/>
      </w:r>
      <w:r w:rsidR="00E82ADD">
        <w:rPr>
          <w:rFonts w:ascii="Times New Roman" w:hAnsi="Times New Roman" w:cs="Times New Roman"/>
          <w:noProof/>
        </w:rPr>
        <w:t>[1, 2]</w:t>
      </w:r>
      <w:r w:rsidR="00E82ADD">
        <w:rPr>
          <w:rFonts w:ascii="Times New Roman" w:hAnsi="Times New Roman" w:cs="Times New Roman"/>
        </w:rPr>
        <w:fldChar w:fldCharType="end"/>
      </w:r>
    </w:p>
    <w:p w14:paraId="5D0F37E1" w14:textId="36725F3B" w:rsidR="00C502FF" w:rsidRPr="00C502FF" w:rsidRDefault="00C502FF" w:rsidP="00E82ADD">
      <w:pPr>
        <w:spacing w:line="480" w:lineRule="auto"/>
        <w:ind w:firstLine="720"/>
        <w:jc w:val="both"/>
        <w:rPr>
          <w:rFonts w:ascii="Times New Roman" w:hAnsi="Times New Roman" w:cs="Times New Roman"/>
        </w:rPr>
      </w:pPr>
      <w:r w:rsidRPr="00C502FF">
        <w:rPr>
          <w:rFonts w:ascii="Times New Roman" w:hAnsi="Times New Roman" w:cs="Times New Roman"/>
        </w:rPr>
        <w:t>The benchmark that defines this demand today is the Rec. 2020 color standard (formally, ITU-R BT.2020), which was adopted for ultra-high-definition television and has since been widely accepted as the performance target for high-resolution displays, augmented reality headsets, and near-eye wearable devices</w:t>
      </w:r>
      <w:r w:rsidR="00E82ADD">
        <w:rPr>
          <w:rFonts w:ascii="Times New Roman" w:hAnsi="Times New Roman" w:cs="Times New Roman"/>
        </w:rPr>
        <w:t>.</w:t>
      </w:r>
      <w:r w:rsidR="00E82ADD">
        <w:rPr>
          <w:rFonts w:ascii="Times New Roman" w:hAnsi="Times New Roman" w:cs="Times New Roman"/>
        </w:rPr>
        <w:fldChar w:fldCharType="begin"/>
      </w:r>
      <w:r w:rsidR="00E82ADD">
        <w:rPr>
          <w:rFonts w:ascii="Times New Roman" w:hAnsi="Times New Roman" w:cs="Times New Roman"/>
        </w:rPr>
        <w:instrText xml:space="preserve"> ADDIN EN.CITE &lt;EndNote&gt;&lt;Cite&gt;&lt;Author&gt;Chiang&lt;/Author&gt;&lt;Year&gt;2026&lt;/Year&gt;&lt;RecNum&gt;32&lt;/RecNum&gt;&lt;DisplayText&gt;[3]&lt;/DisplayText&gt;&lt;record&gt;&lt;rec-number&gt;32&lt;/rec-number&gt;&lt;foreign-keys&gt;&lt;key app="EN" db-id="w9wpew9ra2s2sqepsvavdsf2zx55zszffwae" timestamp="1780912423"&gt;32&lt;/key&gt;&lt;/foreign-keys&gt;&lt;ref-type name="Journal Article"&gt;17&lt;/ref-type&gt;&lt;contributors&gt;&lt;authors&gt;&lt;author&gt;Chiang, Tsung-Hsing&lt;/author&gt;&lt;author&gt;Kerwood, Deborah J.&lt;/author&gt;&lt;author&gt;Stapf, Abigail L.&lt;/author&gt;&lt;author&gt;Cotlet, Mircea&lt;/author&gt;&lt;author&gt;Maye, Mathew M.&lt;/author&gt;&lt;/authors&gt;&lt;/contributors&gt;&lt;titles&gt;&lt;title&gt;Investigating the Role π-Rich Solvents Play in the Growth of Cesium Lead Bromide Nanocrystals&lt;/title&gt;&lt;secondary-title&gt;ACS Nanoscience Au&lt;/secondary-title&gt;&lt;/titles&gt;&lt;periodical&gt;&lt;full-title&gt;ACS Nanoscience Au&lt;/full-title&gt;&lt;/periodical&gt;&lt;pages&gt;44-53&lt;/pages&gt;&lt;volume&gt;6&lt;/volume&gt;&lt;number&gt;1&lt;/number&gt;&lt;dates&gt;&lt;year&gt;2026&lt;/year&gt;&lt;pub-dates&gt;&lt;date&gt;2026/02/18&lt;/date&gt;&lt;/pub-dates&gt;&lt;/dates&gt;&lt;publisher&gt;American Chemical Society&lt;/publisher&gt;&lt;urls&gt;&lt;related-urls&gt;&lt;url&gt;https://doi.org/10.1021/acsnanoscienceau.5c00081&lt;/url&gt;&lt;/related-urls&gt;&lt;/urls&gt;&lt;electronic-resource-num&gt;10.1021/acsnanoscienceau.5c00081&lt;/electronic-resource-num&gt;&lt;/record&gt;&lt;/Cite&gt;&lt;/EndNote&gt;</w:instrText>
      </w:r>
      <w:r w:rsidR="00E82ADD">
        <w:rPr>
          <w:rFonts w:ascii="Times New Roman" w:hAnsi="Times New Roman" w:cs="Times New Roman"/>
        </w:rPr>
        <w:fldChar w:fldCharType="separate"/>
      </w:r>
      <w:r w:rsidR="00E82ADD">
        <w:rPr>
          <w:rFonts w:ascii="Times New Roman" w:hAnsi="Times New Roman" w:cs="Times New Roman"/>
          <w:noProof/>
        </w:rPr>
        <w:t>[3]</w:t>
      </w:r>
      <w:r w:rsidR="00E82ADD">
        <w:rPr>
          <w:rFonts w:ascii="Times New Roman" w:hAnsi="Times New Roman" w:cs="Times New Roman"/>
        </w:rPr>
        <w:fldChar w:fldCharType="end"/>
      </w:r>
      <w:r w:rsidRPr="00C502FF">
        <w:rPr>
          <w:rFonts w:ascii="Times New Roman" w:hAnsi="Times New Roman" w:cs="Times New Roman"/>
        </w:rPr>
        <w:t xml:space="preserve"> Rec. 2020 specifies </w:t>
      </w:r>
      <w:r w:rsidR="00B341BE" w:rsidRPr="00C502FF">
        <w:rPr>
          <w:rFonts w:ascii="Times New Roman" w:hAnsi="Times New Roman" w:cs="Times New Roman"/>
        </w:rPr>
        <w:t xml:space="preserve">red, green, and blue </w:t>
      </w:r>
      <w:r w:rsidR="00B341BE">
        <w:rPr>
          <w:rFonts w:ascii="Times New Roman" w:hAnsi="Times New Roman" w:cs="Times New Roman"/>
        </w:rPr>
        <w:t>as the three primary colours, whose positions on the Commission Internationale de l'Éclairage (CIE) 1931 chromaticity diagram form a triangle that covers roughly 75.8% of all colours</w:t>
      </w:r>
      <w:r w:rsidRPr="00C502FF">
        <w:rPr>
          <w:rFonts w:ascii="Times New Roman" w:hAnsi="Times New Roman" w:cs="Times New Roman"/>
        </w:rPr>
        <w:t xml:space="preserve"> visible to the human eye. This is about 1.7 times larger than the older sRGB </w:t>
      </w:r>
      <w:r w:rsidR="00B341BE">
        <w:rPr>
          <w:rFonts w:ascii="Times New Roman" w:hAnsi="Times New Roman" w:cs="Times New Roman"/>
        </w:rPr>
        <w:t>(</w:t>
      </w:r>
      <w:r w:rsidR="00B341BE" w:rsidRPr="00B341BE">
        <w:rPr>
          <w:rFonts w:ascii="Times New Roman" w:hAnsi="Times New Roman" w:cs="Times New Roman"/>
        </w:rPr>
        <w:t>Standard Red Green Blue</w:t>
      </w:r>
      <w:r w:rsidR="00B341BE">
        <w:rPr>
          <w:rFonts w:ascii="Times New Roman" w:hAnsi="Times New Roman" w:cs="Times New Roman"/>
        </w:rPr>
        <w:t xml:space="preserve">) </w:t>
      </w:r>
      <w:r w:rsidRPr="00C502FF">
        <w:rPr>
          <w:rFonts w:ascii="Times New Roman" w:hAnsi="Times New Roman" w:cs="Times New Roman"/>
        </w:rPr>
        <w:t>color space used by most</w:t>
      </w:r>
      <w:r w:rsidR="00655DBA">
        <w:rPr>
          <w:rFonts w:ascii="Times New Roman" w:hAnsi="Times New Roman" w:cs="Times New Roman"/>
        </w:rPr>
        <w:t xml:space="preserve"> conventional</w:t>
      </w:r>
      <w:r w:rsidRPr="00C502FF">
        <w:rPr>
          <w:rFonts w:ascii="Times New Roman" w:hAnsi="Times New Roman" w:cs="Times New Roman"/>
        </w:rPr>
        <w:t xml:space="preserve"> screens</w:t>
      </w:r>
      <w:r w:rsidR="00655DBA">
        <w:rPr>
          <w:rFonts w:ascii="Times New Roman" w:hAnsi="Times New Roman" w:cs="Times New Roman"/>
        </w:rPr>
        <w:t>.</w:t>
      </w:r>
      <w:r w:rsidR="00655DBA">
        <w:rPr>
          <w:rFonts w:ascii="Times New Roman" w:hAnsi="Times New Roman" w:cs="Times New Roman"/>
        </w:rPr>
        <w:fldChar w:fldCharType="begin"/>
      </w:r>
      <w:r w:rsidR="00655DBA">
        <w:rPr>
          <w:rFonts w:ascii="Times New Roman" w:hAnsi="Times New Roman" w:cs="Times New Roman"/>
        </w:rPr>
        <w:instrText xml:space="preserve"> ADDIN EN.CITE &lt;EndNote&gt;&lt;Cite&gt;&lt;Author&gt;Zhao&lt;/Author&gt;&lt;Year&gt;2025&lt;/Year&gt;&lt;RecNum&gt;33&lt;/RecNum&gt;&lt;DisplayText&gt;[4]&lt;/DisplayText&gt;&lt;record&gt;&lt;rec-number&gt;33&lt;/rec-number&gt;&lt;foreign-keys&gt;&lt;key app="EN" db-id="w9wpew9ra2s2sqepsvavdsf2zx55zszffwae" timestamp="1780923346"&gt;33&lt;/key&gt;&lt;/foreign-keys&gt;&lt;ref-type name="Journal Article"&gt;17&lt;/ref-type&gt;&lt;contributors&gt;&lt;authors&gt;&lt;author&gt;Zhao, Yue&lt;/author&gt;&lt;author&gt;Choi, Bo-Hyun&lt;/author&gt;&lt;author&gt;Kim, Eonsu&lt;/author&gt;&lt;author&gt;Zeng, Qingsen&lt;/author&gt;&lt;author&gt;Lee, Tae-Woo&lt;/author&gt;&lt;/authors&gt;&lt;/contributors&gt;&lt;titles&gt;&lt;title&gt;Advancing perovskite nanocrystals for high-resolution LED displays&lt;/title&gt;&lt;secondary-title&gt;Communications Materials&lt;/secondary-title&gt;&lt;/titles&gt;&lt;periodical&gt;&lt;full-title&gt;Communications Materials&lt;/full-title&gt;&lt;/periodical&gt;&lt;pages&gt;281&lt;/pages&gt;&lt;volume&gt;6&lt;/volume&gt;&lt;number&gt;1&lt;/number&gt;&lt;dates&gt;&lt;year&gt;2025&lt;/year&gt;&lt;pub-dates&gt;&lt;date&gt;2025/12/04&lt;/date&gt;&lt;/pub-dates&gt;&lt;/dates&gt;&lt;isbn&gt;2662-4443&lt;/isbn&gt;&lt;urls&gt;&lt;related-urls&gt;&lt;url&gt;https://doi.org/10.1038/s43246-025-00957-2&lt;/url&gt;&lt;/related-urls&gt;&lt;/urls&gt;&lt;electronic-resource-num&gt;10.1038/s43246-025-00957-2&lt;/electronic-resource-num&gt;&lt;/record&gt;&lt;/Cite&gt;&lt;/EndNote&gt;</w:instrText>
      </w:r>
      <w:r w:rsidR="00655DBA">
        <w:rPr>
          <w:rFonts w:ascii="Times New Roman" w:hAnsi="Times New Roman" w:cs="Times New Roman"/>
        </w:rPr>
        <w:fldChar w:fldCharType="separate"/>
      </w:r>
      <w:r w:rsidR="00655DBA">
        <w:rPr>
          <w:rFonts w:ascii="Times New Roman" w:hAnsi="Times New Roman" w:cs="Times New Roman"/>
          <w:noProof/>
        </w:rPr>
        <w:t>[4]</w:t>
      </w:r>
      <w:r w:rsidR="00655DBA">
        <w:rPr>
          <w:rFonts w:ascii="Times New Roman" w:hAnsi="Times New Roman" w:cs="Times New Roman"/>
        </w:rPr>
        <w:fldChar w:fldCharType="end"/>
      </w:r>
      <w:r w:rsidRPr="00C502FF">
        <w:rPr>
          <w:rFonts w:ascii="Times New Roman" w:hAnsi="Times New Roman" w:cs="Times New Roman"/>
        </w:rPr>
        <w:t xml:space="preserve"> Of the three primaries, the blue one is the most difficult to achieve. Its target chromaticity coordinate sits at </w:t>
      </w:r>
      <m:oMath>
        <m:d>
          <m:dPr>
            <m:ctrlPr>
              <w:rPr>
                <w:rFonts w:ascii="Cambria Math" w:hAnsi="Cambria Math" w:cs="Times New Roman"/>
              </w:rPr>
            </m:ctrlPr>
          </m:dPr>
          <m:e>
            <m:r>
              <w:rPr>
                <w:rFonts w:ascii="Cambria Math" w:hAnsi="Cambria Math" w:cs="Times New Roman"/>
              </w:rPr>
              <m:t>x,y)=(0.131,0.046</m:t>
            </m:r>
          </m:e>
        </m:d>
      </m:oMath>
      <w:r w:rsidR="00655DBA">
        <w:rPr>
          <w:rFonts w:ascii="Times New Roman" w:hAnsi="Times New Roman" w:cs="Times New Roman"/>
        </w:rPr>
        <w:t xml:space="preserve"> which is </w:t>
      </w:r>
      <w:r w:rsidRPr="00C502FF">
        <w:rPr>
          <w:rFonts w:ascii="Times New Roman" w:hAnsi="Times New Roman" w:cs="Times New Roman"/>
        </w:rPr>
        <w:t xml:space="preserve">very close to the short-wavelength edge of the visible </w:t>
      </w:r>
      <w:r w:rsidR="00655DBA">
        <w:rPr>
          <w:rFonts w:ascii="Times New Roman" w:hAnsi="Times New Roman" w:cs="Times New Roman"/>
        </w:rPr>
        <w:t>colour space, centred</w:t>
      </w:r>
      <w:r w:rsidRPr="00C502FF">
        <w:rPr>
          <w:rFonts w:ascii="Times New Roman" w:hAnsi="Times New Roman" w:cs="Times New Roman"/>
        </w:rPr>
        <w:t xml:space="preserve"> near 467 nm</w:t>
      </w:r>
      <w:r w:rsidR="00655DBA">
        <w:rPr>
          <w:rFonts w:ascii="Times New Roman" w:hAnsi="Times New Roman" w:cs="Times New Roman"/>
        </w:rPr>
        <w:t>.</w:t>
      </w:r>
      <w:r w:rsidR="00655DBA">
        <w:rPr>
          <w:rFonts w:ascii="Times New Roman" w:hAnsi="Times New Roman" w:cs="Times New Roman"/>
        </w:rPr>
        <w:fldChar w:fldCharType="begin"/>
      </w:r>
      <w:r w:rsidR="00655DBA">
        <w:rPr>
          <w:rFonts w:ascii="Times New Roman" w:hAnsi="Times New Roman" w:cs="Times New Roman"/>
        </w:rPr>
        <w:instrText xml:space="preserve"> ADDIN EN.CITE &lt;EndNote&gt;&lt;Cite&gt;&lt;Author&gt;Ko&lt;/Author&gt;&lt;Year&gt;2025&lt;/Year&gt;&lt;RecNum&gt;30&lt;/RecNum&gt;&lt;DisplayText&gt;[1]&lt;/DisplayText&gt;&lt;record&gt;&lt;rec-number&gt;30&lt;/rec-number&gt;&lt;foreign-keys&gt;&lt;key app="EN" db-id="w9wpew9ra2s2sqepsvavdsf2zx55zszffwae" timestamp="1780912021"&gt;30&lt;/key&gt;&lt;/foreign-keys&gt;&lt;ref-type name="Journal Article"&gt;17&lt;/ref-type&gt;&lt;contributors&gt;&lt;authors&gt;&lt;author&gt;Ko, Pui Kei&lt;/author&gt;&lt;author&gt;Ge, Jianchao&lt;/author&gt;&lt;author&gt;Ding, Pengbo&lt;/author&gt;&lt;author&gt;Chen, Dezhang&lt;/author&gt;&lt;author&gt;Tsang, Hoi Lam Tammy&lt;/author&gt;&lt;author&gt;Kumar, Nitish&lt;/author&gt;&lt;author&gt;Halpert, Jonathan E.&lt;/author&gt;&lt;/authors&gt;&lt;/contributors&gt;&lt;titles&gt;&lt;title&gt;The Deepest Blue: Major Advances and Challenges in Deep Blue Emitting Quasi-2D and Nanocrystalline Perovskite LEDs&lt;/title&gt;&lt;secondary-title&gt;Advanced Materials&lt;/secondary-title&gt;&lt;/titles&gt;&lt;periodical&gt;&lt;full-title&gt;Advanced Materials&lt;/full-title&gt;&lt;/periodical&gt;&lt;pages&gt;2407764&lt;/pages&gt;&lt;volume&gt;37&lt;/volume&gt;&lt;number&gt;23&lt;/number&gt;&lt;keywords&gt;&lt;keyword&gt;deep-blue&lt;/keyword&gt;&lt;keyword&gt;light-emitting diodes&lt;/keyword&gt;&lt;keyword&gt;metal halide perovskite&lt;/keyword&gt;&lt;keyword&gt;nanomaterials&lt;/keyword&gt;&lt;keyword&gt;optoelectronics&lt;/keyword&gt;&lt;/keywords&gt;&lt;dates&gt;&lt;year&gt;2025&lt;/year&gt;&lt;pub-dates&gt;&lt;date&gt;2025/06/01&lt;/date&gt;&lt;/pub-dates&gt;&lt;/dates&gt;&lt;publisher&gt;John Wiley &amp;amp; Sons, Ltd&lt;/publisher&gt;&lt;isbn&gt;0935-9648&lt;/isbn&gt;&lt;urls&gt;&lt;related-urls&gt;&lt;url&gt;https://doi.org/10.1002/adma.202407764&lt;/url&gt;&lt;/related-urls&gt;&lt;/urls&gt;&lt;electronic-resource-num&gt;https://doi.org/10.1002/adma.202407764&lt;/electronic-resource-num&gt;&lt;access-date&gt;2026/06/08&lt;/access-date&gt;&lt;/record&gt;&lt;/Cite&gt;&lt;/EndNote&gt;</w:instrText>
      </w:r>
      <w:r w:rsidR="00655DBA">
        <w:rPr>
          <w:rFonts w:ascii="Times New Roman" w:hAnsi="Times New Roman" w:cs="Times New Roman"/>
        </w:rPr>
        <w:fldChar w:fldCharType="separate"/>
      </w:r>
      <w:r w:rsidR="00655DBA">
        <w:rPr>
          <w:rFonts w:ascii="Times New Roman" w:hAnsi="Times New Roman" w:cs="Times New Roman"/>
          <w:noProof/>
        </w:rPr>
        <w:t>[1]</w:t>
      </w:r>
      <w:r w:rsidR="00655DBA">
        <w:rPr>
          <w:rFonts w:ascii="Times New Roman" w:hAnsi="Times New Roman" w:cs="Times New Roman"/>
        </w:rPr>
        <w:fldChar w:fldCharType="end"/>
      </w:r>
    </w:p>
    <w:p w14:paraId="2BDFAC59" w14:textId="51297760" w:rsidR="00C502FF" w:rsidRPr="00C502FF" w:rsidRDefault="00C502FF" w:rsidP="00C502FF">
      <w:pPr>
        <w:spacing w:line="480" w:lineRule="auto"/>
        <w:jc w:val="both"/>
        <w:rPr>
          <w:rFonts w:ascii="Times New Roman" w:hAnsi="Times New Roman" w:cs="Times New Roman"/>
        </w:rPr>
      </w:pPr>
      <w:r w:rsidRPr="00C502FF">
        <w:rPr>
          <w:rFonts w:ascii="Times New Roman" w:hAnsi="Times New Roman" w:cs="Times New Roman"/>
        </w:rPr>
        <w:lastRenderedPageBreak/>
        <w:t xml:space="preserve">Understanding why that blue target is so hard to hit requires a short detour into how color coordinates are actually calculated. The </w:t>
      </w:r>
      <m:oMath>
        <m:d>
          <m:dPr>
            <m:sepChr m:val=","/>
            <m:ctrlPr>
              <w:rPr>
                <w:rFonts w:ascii="Cambria Math" w:hAnsi="Cambria Math" w:cs="Times New Roman"/>
              </w:rPr>
            </m:ctrlPr>
          </m:dPr>
          <m:e>
            <m:r>
              <w:rPr>
                <w:rFonts w:ascii="Cambria Math" w:hAnsi="Cambria Math" w:cs="Times New Roman"/>
              </w:rPr>
              <m:t>x</m:t>
            </m:r>
          </m:e>
          <m:e>
            <m:r>
              <w:rPr>
                <w:rFonts w:ascii="Cambria Math" w:hAnsi="Cambria Math" w:cs="Times New Roman"/>
              </w:rPr>
              <m:t>y</m:t>
            </m:r>
          </m:e>
        </m:d>
      </m:oMath>
      <w:r w:rsidRPr="00C502FF">
        <w:rPr>
          <w:rFonts w:ascii="Times New Roman" w:hAnsi="Times New Roman" w:cs="Times New Roman"/>
        </w:rPr>
        <w:t xml:space="preserve">position of any light source on the CIE diagram is not determined by its peak wavelength alone — it depends on its full emission spectrum. Specifically, the tristimulus values </w:t>
      </w:r>
      <m:oMath>
        <m:r>
          <w:rPr>
            <w:rFonts w:ascii="Cambria Math" w:hAnsi="Cambria Math" w:cs="Times New Roman"/>
          </w:rPr>
          <m:t>X</m:t>
        </m:r>
      </m:oMath>
      <w:r w:rsidRPr="00C502FF">
        <w:rPr>
          <w:rFonts w:ascii="Times New Roman" w:hAnsi="Times New Roman" w:cs="Times New Roman"/>
        </w:rPr>
        <w:t xml:space="preserve">, </w:t>
      </w:r>
      <m:oMath>
        <m:r>
          <w:rPr>
            <w:rFonts w:ascii="Cambria Math" w:hAnsi="Cambria Math" w:cs="Times New Roman"/>
          </w:rPr>
          <m:t>Y</m:t>
        </m:r>
      </m:oMath>
      <w:r w:rsidRPr="00C502FF">
        <w:rPr>
          <w:rFonts w:ascii="Times New Roman" w:hAnsi="Times New Roman" w:cs="Times New Roman"/>
        </w:rPr>
        <w:t xml:space="preserve">, and </w:t>
      </w:r>
      <m:oMath>
        <m:r>
          <w:rPr>
            <w:rFonts w:ascii="Cambria Math" w:hAnsi="Cambria Math" w:cs="Times New Roman"/>
          </w:rPr>
          <m:t>Z</m:t>
        </m:r>
      </m:oMath>
      <w:r w:rsidRPr="00C502FF">
        <w:rPr>
          <w:rFonts w:ascii="Times New Roman" w:hAnsi="Times New Roman" w:cs="Times New Roman"/>
        </w:rPr>
        <w:t xml:space="preserve">are computed by integrating the spectral power distribution </w:t>
      </w:r>
      <m:oMath>
        <m:r>
          <w:rPr>
            <w:rFonts w:ascii="Cambria Math" w:hAnsi="Cambria Math" w:cs="Times New Roman"/>
          </w:rPr>
          <m:t>S(λ)</m:t>
        </m:r>
      </m:oMath>
      <w:r w:rsidRPr="00C502FF">
        <w:rPr>
          <w:rFonts w:ascii="Times New Roman" w:hAnsi="Times New Roman" w:cs="Times New Roman"/>
        </w:rPr>
        <w:t xml:space="preserve">of the emitter against three standard color matching functions </w:t>
      </w:r>
      <m:oMath>
        <m:acc>
          <m:accPr>
            <m:chr m:val="ˉ"/>
            <m:ctrlPr>
              <w:rPr>
                <w:rFonts w:ascii="Cambria Math" w:hAnsi="Cambria Math" w:cs="Times New Roman"/>
              </w:rPr>
            </m:ctrlPr>
          </m:accPr>
          <m:e>
            <m:r>
              <w:rPr>
                <w:rFonts w:ascii="Cambria Math" w:hAnsi="Cambria Math" w:cs="Times New Roman"/>
              </w:rPr>
              <m:t>x</m:t>
            </m:r>
          </m:e>
        </m:acc>
        <m:r>
          <w:rPr>
            <w:rFonts w:ascii="Cambria Math" w:hAnsi="Cambria Math" w:cs="Times New Roman"/>
          </w:rPr>
          <m:t>(λ)</m:t>
        </m:r>
      </m:oMath>
      <w:r w:rsidRPr="00C502FF">
        <w:rPr>
          <w:rFonts w:ascii="Times New Roman" w:hAnsi="Times New Roman" w:cs="Times New Roman"/>
        </w:rPr>
        <w:t xml:space="preserve">, </w:t>
      </w:r>
      <m:oMath>
        <m:acc>
          <m:accPr>
            <m:chr m:val="ˉ"/>
            <m:ctrlPr>
              <w:rPr>
                <w:rFonts w:ascii="Cambria Math" w:hAnsi="Cambria Math" w:cs="Times New Roman"/>
              </w:rPr>
            </m:ctrlPr>
          </m:accPr>
          <m:e>
            <m:r>
              <w:rPr>
                <w:rFonts w:ascii="Cambria Math" w:hAnsi="Cambria Math" w:cs="Times New Roman"/>
              </w:rPr>
              <m:t>y</m:t>
            </m:r>
          </m:e>
        </m:acc>
        <m:r>
          <w:rPr>
            <w:rFonts w:ascii="Cambria Math" w:hAnsi="Cambria Math" w:cs="Times New Roman"/>
          </w:rPr>
          <m:t>(λ)</m:t>
        </m:r>
      </m:oMath>
      <w:r w:rsidRPr="00C502FF">
        <w:rPr>
          <w:rFonts w:ascii="Times New Roman" w:hAnsi="Times New Roman" w:cs="Times New Roman"/>
        </w:rPr>
        <w:t xml:space="preserve">, and </w:t>
      </w:r>
      <m:oMath>
        <m:acc>
          <m:accPr>
            <m:chr m:val="ˉ"/>
            <m:ctrlPr>
              <w:rPr>
                <w:rFonts w:ascii="Cambria Math" w:hAnsi="Cambria Math" w:cs="Times New Roman"/>
              </w:rPr>
            </m:ctrlPr>
          </m:accPr>
          <m:e>
            <m:r>
              <w:rPr>
                <w:rFonts w:ascii="Cambria Math" w:hAnsi="Cambria Math" w:cs="Times New Roman"/>
              </w:rPr>
              <m:t>z</m:t>
            </m:r>
          </m:e>
        </m:acc>
        <m:r>
          <w:rPr>
            <w:rFonts w:ascii="Cambria Math" w:hAnsi="Cambria Math" w:cs="Times New Roman"/>
          </w:rPr>
          <m:t>(λ)</m:t>
        </m:r>
      </m:oMath>
      <w:r w:rsidRPr="00C502FF">
        <w:rPr>
          <w:rFonts w:ascii="Times New Roman" w:hAnsi="Times New Roman" w:cs="Times New Roman"/>
        </w:rPr>
        <w:t>that describe the average human eye's sensitivity to different wavelengths [5]:</w:t>
      </w:r>
    </w:p>
    <w:p w14:paraId="3EE3A49B" w14:textId="3296DA80" w:rsidR="00C502FF" w:rsidRPr="00C502FF" w:rsidRDefault="00C502FF" w:rsidP="00C502FF">
      <w:pPr>
        <w:spacing w:line="480" w:lineRule="auto"/>
        <w:jc w:val="both"/>
        <w:rPr>
          <w:rFonts w:ascii="Times New Roman" w:hAnsi="Times New Roman" w:cs="Times New Roman"/>
        </w:rPr>
      </w:pPr>
      <m:oMathPara>
        <m:oMath>
          <m:r>
            <w:rPr>
              <w:rFonts w:ascii="Cambria Math" w:hAnsi="Cambria Math" w:cs="Times New Roman"/>
            </w:rPr>
            <m:t>X=∫S(λ)</m:t>
          </m:r>
          <m:r>
            <m:rPr>
              <m:nor/>
            </m:rPr>
            <w:rPr>
              <w:rFonts w:ascii="Times New Roman" w:hAnsi="Times New Roman" w:cs="Times New Roman"/>
            </w:rPr>
            <m:t> </m:t>
          </m:r>
          <m:acc>
            <m:accPr>
              <m:chr m:val="ˉ"/>
              <m:ctrlPr>
                <w:rPr>
                  <w:rFonts w:ascii="Cambria Math" w:hAnsi="Cambria Math" w:cs="Times New Roman"/>
                </w:rPr>
              </m:ctrlPr>
            </m:accPr>
            <m:e>
              <m:r>
                <w:rPr>
                  <w:rFonts w:ascii="Cambria Math" w:hAnsi="Cambria Math" w:cs="Times New Roman"/>
                </w:rPr>
                <m:t>x</m:t>
              </m:r>
            </m:e>
          </m:acc>
          <m:r>
            <w:rPr>
              <w:rFonts w:ascii="Cambria Math" w:hAnsi="Cambria Math" w:cs="Times New Roman"/>
            </w:rPr>
            <m:t>(λ)</m:t>
          </m:r>
          <m:r>
            <m:rPr>
              <m:nor/>
            </m:rPr>
            <w:rPr>
              <w:rFonts w:ascii="Times New Roman" w:hAnsi="Times New Roman" w:cs="Times New Roman"/>
            </w:rPr>
            <m:t> </m:t>
          </m:r>
          <m:r>
            <w:rPr>
              <w:rFonts w:ascii="Cambria Math" w:hAnsi="Cambria Math" w:cs="Times New Roman"/>
            </w:rPr>
            <m:t>dλ,Y=∫S(λ)</m:t>
          </m:r>
          <m:r>
            <m:rPr>
              <m:nor/>
            </m:rPr>
            <w:rPr>
              <w:rFonts w:ascii="Times New Roman" w:hAnsi="Times New Roman" w:cs="Times New Roman"/>
            </w:rPr>
            <m:t> </m:t>
          </m:r>
          <m:acc>
            <m:accPr>
              <m:chr m:val="ˉ"/>
              <m:ctrlPr>
                <w:rPr>
                  <w:rFonts w:ascii="Cambria Math" w:hAnsi="Cambria Math" w:cs="Times New Roman"/>
                </w:rPr>
              </m:ctrlPr>
            </m:accPr>
            <m:e>
              <m:r>
                <w:rPr>
                  <w:rFonts w:ascii="Cambria Math" w:hAnsi="Cambria Math" w:cs="Times New Roman"/>
                </w:rPr>
                <m:t>y</m:t>
              </m:r>
            </m:e>
          </m:acc>
          <m:r>
            <w:rPr>
              <w:rFonts w:ascii="Cambria Math" w:hAnsi="Cambria Math" w:cs="Times New Roman"/>
            </w:rPr>
            <m:t>(λ)</m:t>
          </m:r>
          <m:r>
            <m:rPr>
              <m:nor/>
            </m:rPr>
            <w:rPr>
              <w:rFonts w:ascii="Times New Roman" w:hAnsi="Times New Roman" w:cs="Times New Roman"/>
            </w:rPr>
            <m:t> </m:t>
          </m:r>
          <m:r>
            <w:rPr>
              <w:rFonts w:ascii="Cambria Math" w:hAnsi="Cambria Math" w:cs="Times New Roman"/>
            </w:rPr>
            <m:t>dλ,Z=∫S(λ)</m:t>
          </m:r>
          <m:r>
            <m:rPr>
              <m:nor/>
            </m:rPr>
            <w:rPr>
              <w:rFonts w:ascii="Times New Roman" w:hAnsi="Times New Roman" w:cs="Times New Roman"/>
            </w:rPr>
            <m:t> </m:t>
          </m:r>
          <m:acc>
            <m:accPr>
              <m:chr m:val="ˉ"/>
              <m:ctrlPr>
                <w:rPr>
                  <w:rFonts w:ascii="Cambria Math" w:hAnsi="Cambria Math" w:cs="Times New Roman"/>
                </w:rPr>
              </m:ctrlPr>
            </m:accPr>
            <m:e>
              <m:r>
                <w:rPr>
                  <w:rFonts w:ascii="Cambria Math" w:hAnsi="Cambria Math" w:cs="Times New Roman"/>
                </w:rPr>
                <m:t>z</m:t>
              </m:r>
            </m:e>
          </m:acc>
          <m:r>
            <w:rPr>
              <w:rFonts w:ascii="Cambria Math" w:hAnsi="Cambria Math" w:cs="Times New Roman"/>
            </w:rPr>
            <m:t>(λ)</m:t>
          </m:r>
          <m:r>
            <m:rPr>
              <m:nor/>
            </m:rPr>
            <w:rPr>
              <w:rFonts w:ascii="Times New Roman" w:hAnsi="Times New Roman" w:cs="Times New Roman"/>
            </w:rPr>
            <m:t> </m:t>
          </m:r>
          <m:r>
            <w:rPr>
              <w:rFonts w:ascii="Cambria Math" w:hAnsi="Cambria Math" w:cs="Times New Roman"/>
            </w:rPr>
            <m:t>dλ</m:t>
          </m:r>
          <m:r>
            <w:rPr>
              <w:rFonts w:ascii="Times New Roman" w:hAnsi="Times New Roman" w:cs="Times New Roman"/>
              <w:i/>
            </w:rPr>
            <w:br/>
          </m:r>
        </m:oMath>
      </m:oMathPara>
    </w:p>
    <w:p w14:paraId="3E2E92B8" w14:textId="2E12F721" w:rsidR="00C502FF" w:rsidRPr="00C502FF" w:rsidRDefault="00C502FF" w:rsidP="00C502FF">
      <w:pPr>
        <w:spacing w:line="480" w:lineRule="auto"/>
        <w:jc w:val="both"/>
        <w:rPr>
          <w:rFonts w:ascii="Times New Roman" w:hAnsi="Times New Roman" w:cs="Times New Roman"/>
        </w:rPr>
      </w:pPr>
      <w:r w:rsidRPr="00C502FF">
        <w:rPr>
          <w:rFonts w:ascii="Times New Roman" w:hAnsi="Times New Roman" w:cs="Times New Roman"/>
        </w:rPr>
        <w:t xml:space="preserve">The chromaticity coordinates follow from </w:t>
      </w:r>
      <w:r w:rsidR="00655DBA">
        <w:rPr>
          <w:rFonts w:ascii="Times New Roman" w:hAnsi="Times New Roman" w:cs="Times New Roman"/>
        </w:rPr>
        <w:t>normalising</w:t>
      </w:r>
      <w:r w:rsidRPr="00C502FF">
        <w:rPr>
          <w:rFonts w:ascii="Times New Roman" w:hAnsi="Times New Roman" w:cs="Times New Roman"/>
        </w:rPr>
        <w:t xml:space="preserve"> these values:</w:t>
      </w:r>
    </w:p>
    <w:p w14:paraId="1BBF7077" w14:textId="7C493CD4" w:rsidR="00C502FF" w:rsidRPr="00C502FF" w:rsidRDefault="00C502FF" w:rsidP="00C502FF">
      <w:pPr>
        <w:spacing w:line="480" w:lineRule="auto"/>
        <w:jc w:val="both"/>
        <w:rPr>
          <w:rFonts w:ascii="Times New Roman" w:hAnsi="Times New Roman" w:cs="Times New Roman"/>
        </w:rPr>
      </w:pPr>
      <m:oMathPara>
        <m:oMath>
          <m:r>
            <w:rPr>
              <w:rFonts w:ascii="Cambria Math" w:hAnsi="Cambria Math" w:cs="Times New Roman"/>
            </w:rPr>
            <m:t>x=</m:t>
          </m:r>
          <m:f>
            <m:fPr>
              <m:ctrlPr>
                <w:rPr>
                  <w:rFonts w:ascii="Cambria Math" w:hAnsi="Cambria Math" w:cs="Times New Roman"/>
                </w:rPr>
              </m:ctrlPr>
            </m:fPr>
            <m:num>
              <m:r>
                <w:rPr>
                  <w:rFonts w:ascii="Cambria Math" w:hAnsi="Cambria Math" w:cs="Times New Roman"/>
                </w:rPr>
                <m:t>X</m:t>
              </m:r>
            </m:num>
            <m:den>
              <m:r>
                <w:rPr>
                  <w:rFonts w:ascii="Cambria Math" w:hAnsi="Cambria Math" w:cs="Times New Roman"/>
                </w:rPr>
                <m:t>X+Y+Z</m:t>
              </m:r>
            </m:den>
          </m:f>
          <m:r>
            <w:rPr>
              <w:rFonts w:ascii="Cambria Math" w:hAnsi="Cambria Math" w:cs="Times New Roman"/>
            </w:rPr>
            <m:t>,y=</m:t>
          </m:r>
          <m:f>
            <m:fPr>
              <m:ctrlPr>
                <w:rPr>
                  <w:rFonts w:ascii="Cambria Math" w:hAnsi="Cambria Math" w:cs="Times New Roman"/>
                </w:rPr>
              </m:ctrlPr>
            </m:fPr>
            <m:num>
              <m:r>
                <w:rPr>
                  <w:rFonts w:ascii="Cambria Math" w:hAnsi="Cambria Math" w:cs="Times New Roman"/>
                </w:rPr>
                <m:t>Y</m:t>
              </m:r>
            </m:num>
            <m:den>
              <m:r>
                <w:rPr>
                  <w:rFonts w:ascii="Cambria Math" w:hAnsi="Cambria Math" w:cs="Times New Roman"/>
                </w:rPr>
                <m:t>X+Y+Z</m:t>
              </m:r>
            </m:den>
          </m:f>
          <m:r>
            <w:rPr>
              <w:rFonts w:ascii="Times New Roman" w:hAnsi="Times New Roman" w:cs="Times New Roman"/>
            </w:rPr>
            <w:br/>
          </m:r>
        </m:oMath>
      </m:oMathPara>
    </w:p>
    <w:p w14:paraId="1A4A53FC" w14:textId="358CDDD8" w:rsidR="00C502FF" w:rsidRPr="00C502FF" w:rsidRDefault="00C502FF" w:rsidP="00C502FF">
      <w:pPr>
        <w:spacing w:line="480" w:lineRule="auto"/>
        <w:jc w:val="both"/>
        <w:rPr>
          <w:rFonts w:ascii="Times New Roman" w:hAnsi="Times New Roman" w:cs="Times New Roman"/>
        </w:rPr>
      </w:pPr>
      <w:r w:rsidRPr="00C502FF">
        <w:rPr>
          <w:rFonts w:ascii="Times New Roman" w:hAnsi="Times New Roman" w:cs="Times New Roman"/>
        </w:rPr>
        <w:t xml:space="preserve">What this means in practice is that an emitter with a broad spectrum — even if its peak lands exactly at 467 nm — will spread photon flux across neighboring wavelengths. Those neighboring photons pull the calculated </w:t>
      </w:r>
      <m:oMath>
        <m:d>
          <m:dPr>
            <m:sepChr m:val=","/>
            <m:ctrlPr>
              <w:rPr>
                <w:rFonts w:ascii="Cambria Math" w:hAnsi="Cambria Math" w:cs="Times New Roman"/>
              </w:rPr>
            </m:ctrlPr>
          </m:dPr>
          <m:e>
            <m:r>
              <w:rPr>
                <w:rFonts w:ascii="Cambria Math" w:hAnsi="Cambria Math" w:cs="Times New Roman"/>
              </w:rPr>
              <m:t>x</m:t>
            </m:r>
          </m:e>
          <m:e>
            <m:r>
              <w:rPr>
                <w:rFonts w:ascii="Cambria Math" w:hAnsi="Cambria Math" w:cs="Times New Roman"/>
              </w:rPr>
              <m:t>y</m:t>
            </m:r>
          </m:e>
        </m:d>
      </m:oMath>
      <w:r w:rsidRPr="00C502FF">
        <w:rPr>
          <w:rFonts w:ascii="Times New Roman" w:hAnsi="Times New Roman" w:cs="Times New Roman"/>
        </w:rPr>
        <w:t>coordinates away from the edge of the color space and toward its center, which corresponds to white or gray. Color purity is therefore lost. The width of the emission spectrum, measured as the full width at half maximum (FWHM), is the key physical parameter that controls how closely an emitter can approach its target chromaticity point [5].</w:t>
      </w:r>
    </w:p>
    <w:p w14:paraId="30849A5A" w14:textId="77777777" w:rsidR="00C502FF" w:rsidRPr="00C502FF" w:rsidRDefault="00C502FF" w:rsidP="00C502FF">
      <w:pPr>
        <w:spacing w:line="480" w:lineRule="auto"/>
        <w:jc w:val="both"/>
        <w:rPr>
          <w:rFonts w:ascii="Times New Roman" w:hAnsi="Times New Roman" w:cs="Times New Roman"/>
        </w:rPr>
      </w:pPr>
      <w:r w:rsidRPr="00C502FF">
        <w:rPr>
          <w:rFonts w:ascii="Times New Roman" w:hAnsi="Times New Roman" w:cs="Times New Roman"/>
        </w:rPr>
        <w:t xml:space="preserve">This is not a problem that affects all three primaries equally. For red and green, the human eye's sensitivity curves are broad enough that a moderate increase in FWHM — say, from 20 nm to 50 nm — causes a manageable loss in color saturation [4]. For blue, the situation is much stricter. The S-cones in the human eye, which detect short-wavelength blue light, have a narrow response window, and the Rec. 2020 blue primary sits at the very edge of the visible color space </w:t>
      </w:r>
      <w:r w:rsidRPr="00C502FF">
        <w:rPr>
          <w:rFonts w:ascii="Times New Roman" w:hAnsi="Times New Roman" w:cs="Times New Roman"/>
        </w:rPr>
        <w:lastRenderedPageBreak/>
        <w:t>where any spectral broadening moves the chromaticity coordinates sharply inward, away from the target [3,5]. A shift of just 20 nm in FWHM at this wavelength can cost a large fraction of the blue gamut coverage. This is the origin of what researchers in the field have come to call the deep-blue bottleneck — the observation that blue is consistently the hardest primary to achieve with the color purity that modern display standards require [1,2].</w:t>
      </w:r>
    </w:p>
    <w:p w14:paraId="6A224430" w14:textId="77777777" w:rsidR="00C502FF" w:rsidRPr="00C502FF" w:rsidRDefault="00C502FF" w:rsidP="00C502FF">
      <w:pPr>
        <w:spacing w:line="480" w:lineRule="auto"/>
        <w:jc w:val="both"/>
        <w:rPr>
          <w:rFonts w:ascii="Times New Roman" w:hAnsi="Times New Roman" w:cs="Times New Roman"/>
        </w:rPr>
      </w:pPr>
      <w:r w:rsidRPr="00C502FF">
        <w:rPr>
          <w:rFonts w:ascii="Times New Roman" w:hAnsi="Times New Roman" w:cs="Times New Roman"/>
        </w:rPr>
        <w:t>Current commercial blue emitters fail to meet Rec. 2020 requirements for distinct physical reasons. OLEDs generate blue emission through the vibronic transitions of organic chromophore molecules, and the broad FWHM values that result from these transitions — typically 70–100 nm — are a fundamental consequence of how electrons and molecular vibrations interact in organic systems [6]. GaN-based LEDs are efficient and stable, but their emission spectra are also broad by the standards Rec. 2020 demands, and using phosphor down-converters to generate white light introduces even more spectral spreading through the Stokes shift of the phosphor material [7]. CdSe/ZnS quantum dots achieve narrower emission (FWHM ~25–30 nm) through quantum confinement effects and can be tuned across the visible spectrum by changing particle size, but they require the growth of a wide-bandgap shell around the CdSe core to suppress surface trap states — a process that adds complexity, introduces interface strain, and still leaves the FWHM wider than ideal for the Rec. 2020 blue vertex [10]. Beyond the spectral limitation, cadmium compounds face increasingly strict regulatory restrictions under the European Union's RoHS Directive, complicating commercial deployment [10,11]. InP-based quantum dots, the most common cadmium-free substitute, achieve lower PLQY values and wider emission linewidths because their surfaces are harder to passivate — a consequence of the more covalent bonding character of the InP lattice and the surface dangling bonds it leaves behind [11].</w:t>
      </w:r>
    </w:p>
    <w:p w14:paraId="3F9EC8F1" w14:textId="77777777" w:rsidR="00C502FF" w:rsidRPr="00C502FF" w:rsidRDefault="00C502FF" w:rsidP="00C502FF">
      <w:pPr>
        <w:spacing w:line="480" w:lineRule="auto"/>
        <w:jc w:val="both"/>
        <w:rPr>
          <w:rFonts w:ascii="Times New Roman" w:hAnsi="Times New Roman" w:cs="Times New Roman"/>
        </w:rPr>
      </w:pPr>
      <w:r w:rsidRPr="00C502FF">
        <w:rPr>
          <w:rFonts w:ascii="Times New Roman" w:hAnsi="Times New Roman" w:cs="Times New Roman"/>
        </w:rPr>
        <w:t xml:space="preserve">The economic stakes behind solving this problem are substantial. The global LED display market was valued at around $108 billion in 2023 and is expected to reach close to $200 billion </w:t>
      </w:r>
      <w:r w:rsidRPr="00C502FF">
        <w:rPr>
          <w:rFonts w:ascii="Times New Roman" w:hAnsi="Times New Roman" w:cs="Times New Roman"/>
        </w:rPr>
        <w:lastRenderedPageBreak/>
        <w:t>by 2030, driven by OLED adoption in smartphones and the growth of micro-LED architectures in televisions and automotive displays [8]. The solid-state lighting market reached roughly $75 billion in 2022, with blue LEDs playing a central role in generating white light through phosphor conversion [7]. Emerging applications in quantum information processing also place tight demands on narrow-linewidth emitters, though the performance criteria there shift from color gamut coverage toward photon indistinguishability and emission coherence [9]. Across all three sectors, the shared material requirement is essentially the same: a solid-state emitter capable of producing sub-30 nm FWHM emission in the deep-blue spectral range (~450–470 nm), with high PLQY, at low fabrication cost, and with adequate operational stability.</w:t>
      </w:r>
    </w:p>
    <w:p w14:paraId="498FA7C8" w14:textId="1B038EA1" w:rsidR="00C502FF" w:rsidRPr="00C502FF" w:rsidRDefault="00C502FF" w:rsidP="00C502FF">
      <w:pPr>
        <w:spacing w:line="480" w:lineRule="auto"/>
        <w:jc w:val="both"/>
        <w:rPr>
          <w:rFonts w:ascii="Times New Roman" w:hAnsi="Times New Roman" w:cs="Times New Roman"/>
        </w:rPr>
      </w:pPr>
      <w:r w:rsidRPr="00C502FF">
        <w:rPr>
          <w:rFonts w:ascii="Times New Roman" w:hAnsi="Times New Roman" w:cs="Times New Roman"/>
        </w:rPr>
        <w:t>Against this backdrop, metal halide perovskite nanocrystals and low-dimensional perovskite thin films emerged as serious candidates over the past decade. When Protesescu et al. reported all-inorganic cesium lead halide nanocrystals (CsPbX</w:t>
      </w:r>
      <m:oMath>
        <m:sSub>
          <m:sSubPr>
            <m:ctrlPr>
              <w:rPr>
                <w:rFonts w:ascii="Cambria Math" w:hAnsi="Cambria Math" w:cs="Times New Roman"/>
              </w:rPr>
            </m:ctrlPr>
          </m:sSubPr>
          <m:e/>
          <m:sub>
            <m:r>
              <w:rPr>
                <w:rFonts w:ascii="Cambria Math" w:hAnsi="Cambria Math" w:cs="Times New Roman"/>
              </w:rPr>
              <m:t>3</m:t>
            </m:r>
          </m:sub>
        </m:sSub>
      </m:oMath>
      <w:r w:rsidRPr="00C502FF">
        <w:rPr>
          <w:rFonts w:ascii="Times New Roman" w:hAnsi="Times New Roman" w:cs="Times New Roman"/>
        </w:rPr>
        <w:t>, X = Cl, Br, I) in 2015, the materials community encountered a genuinely unusual combination of properties: solution-based synthesis at mild temperatures, full visible spectrum tunability through simple halide substitution, emission FWHM values as narrow as 12–20 nm in the green-to-red range, and near-unity PLQY — all without the epitaxial shell growth that CdSe QDs require [12]. Quasi-2D layered perovskite thin films developed alongside these nanocrystals as active emitter layers suitable for electrically driven LEDs, and their efficiency climbed from below 1% EQE in 2014 to above 20% by 2021 in the green spectral channel — a rate of improvement that compressed roughly a decade of conventional LED materials development into fewer than seven years [13,14]. Green and near-infrared perovskite LEDs have since reached EQEs above 30%, and pure-red perovskite LEDs have exceeded 25% EQE, placing them on par with or ahead of the best OLED and QLED devices in those colors [1,10].</w:t>
      </w:r>
    </w:p>
    <w:p w14:paraId="27248284" w14:textId="77777777" w:rsidR="00C502FF" w:rsidRPr="00C502FF" w:rsidRDefault="00C502FF" w:rsidP="00C502FF">
      <w:pPr>
        <w:spacing w:line="480" w:lineRule="auto"/>
        <w:jc w:val="both"/>
        <w:rPr>
          <w:rFonts w:ascii="Times New Roman" w:hAnsi="Times New Roman" w:cs="Times New Roman"/>
        </w:rPr>
      </w:pPr>
      <w:r w:rsidRPr="00C502FF">
        <w:rPr>
          <w:rFonts w:ascii="Times New Roman" w:hAnsi="Times New Roman" w:cs="Times New Roman"/>
        </w:rPr>
        <w:t xml:space="preserve">Deep-blue perovskite LEDs, however, remain well behind. Their maximum reported EQE barely exceeds 10% [1]. The reasons are not simple — they involve the thermodynamics of </w:t>
      </w:r>
      <w:r w:rsidRPr="00C502FF">
        <w:rPr>
          <w:rFonts w:ascii="Times New Roman" w:hAnsi="Times New Roman" w:cs="Times New Roman"/>
        </w:rPr>
        <w:lastRenderedPageBreak/>
        <w:t>phase formation in wide-bandgap mixed-halide compositions, the rapid exciton transfer dynamics in layered quasi-2D films, and the sensitivity of surface defect density to the high-energy photons involved in blue emission. These challenges, and the machine learning tools brought to bear on navigating them, are the subject of this thesis. The sections that follow build each layer of the necessary background: from the crystal structure and band physics of 3D perovskites, through the confinement effects that define nanocrystal emission, to the energy funneling dynamics of quasi-2D films, to the computational and data-driven strategies used to map and optimize the enormous parameter space these materials present.</w:t>
      </w:r>
    </w:p>
    <w:p w14:paraId="2F6CCAC5" w14:textId="77777777" w:rsidR="00E82ADD" w:rsidRDefault="00E82ADD" w:rsidP="00C502FF">
      <w:pPr>
        <w:spacing w:line="480" w:lineRule="auto"/>
        <w:jc w:val="both"/>
        <w:rPr>
          <w:rFonts w:ascii="Times New Roman" w:hAnsi="Times New Roman" w:cs="Times New Roman"/>
        </w:rPr>
      </w:pPr>
    </w:p>
    <w:p w14:paraId="06C0091D" w14:textId="77777777" w:rsidR="00E82ADD" w:rsidRDefault="00E82ADD" w:rsidP="00C502FF">
      <w:pPr>
        <w:spacing w:line="480" w:lineRule="auto"/>
        <w:jc w:val="both"/>
        <w:rPr>
          <w:rFonts w:ascii="Times New Roman" w:hAnsi="Times New Roman" w:cs="Times New Roman"/>
        </w:rPr>
      </w:pPr>
    </w:p>
    <w:p w14:paraId="21F676BD" w14:textId="77777777" w:rsidR="00655DBA" w:rsidRPr="00655DBA" w:rsidRDefault="00E82ADD" w:rsidP="00655DBA">
      <w:pPr>
        <w:pStyle w:val="EndNoteBibliography"/>
        <w:spacing w:after="0"/>
        <w:ind w:left="720" w:hanging="720"/>
      </w:pPr>
      <w:r>
        <w:rPr>
          <w:rFonts w:ascii="Times New Roman" w:hAnsi="Times New Roman" w:cs="Times New Roman"/>
        </w:rPr>
        <w:fldChar w:fldCharType="begin"/>
      </w:r>
      <w:r>
        <w:rPr>
          <w:rFonts w:ascii="Times New Roman" w:hAnsi="Times New Roman" w:cs="Times New Roman"/>
        </w:rPr>
        <w:instrText xml:space="preserve"> ADDIN EN.REFLIST </w:instrText>
      </w:r>
      <w:r>
        <w:rPr>
          <w:rFonts w:ascii="Times New Roman" w:hAnsi="Times New Roman" w:cs="Times New Roman"/>
        </w:rPr>
        <w:fldChar w:fldCharType="separate"/>
      </w:r>
      <w:r w:rsidR="00655DBA" w:rsidRPr="00655DBA">
        <w:t>1.</w:t>
      </w:r>
      <w:r w:rsidR="00655DBA" w:rsidRPr="00655DBA">
        <w:tab/>
        <w:t xml:space="preserve">Ko, P.K., et al., </w:t>
      </w:r>
      <w:r w:rsidR="00655DBA" w:rsidRPr="00655DBA">
        <w:rPr>
          <w:i/>
        </w:rPr>
        <w:t>The Deepest Blue: Major Advances and Challenges in Deep Blue Emitting Quasi-2D and Nanocrystalline Perovskite LEDs.</w:t>
      </w:r>
      <w:r w:rsidR="00655DBA" w:rsidRPr="00655DBA">
        <w:t xml:space="preserve"> Advanced Materials, 2025. </w:t>
      </w:r>
      <w:r w:rsidR="00655DBA" w:rsidRPr="00655DBA">
        <w:rPr>
          <w:b/>
        </w:rPr>
        <w:t>37</w:t>
      </w:r>
      <w:r w:rsidR="00655DBA" w:rsidRPr="00655DBA">
        <w:t>(23): p. 2407764.</w:t>
      </w:r>
    </w:p>
    <w:p w14:paraId="5C6CEAD9" w14:textId="77777777" w:rsidR="00655DBA" w:rsidRPr="00655DBA" w:rsidRDefault="00655DBA" w:rsidP="00655DBA">
      <w:pPr>
        <w:pStyle w:val="EndNoteBibliography"/>
        <w:spacing w:after="0"/>
        <w:ind w:left="720" w:hanging="720"/>
      </w:pPr>
      <w:r w:rsidRPr="00655DBA">
        <w:t>2.</w:t>
      </w:r>
      <w:r w:rsidRPr="00655DBA">
        <w:tab/>
        <w:t xml:space="preserve">Kumar, G.S., et al., </w:t>
      </w:r>
      <w:r w:rsidRPr="00655DBA">
        <w:rPr>
          <w:i/>
        </w:rPr>
        <w:t>Perovskite Nanowires for Next-Generation Optoelectronic Devices: Lab to Fab.</w:t>
      </w:r>
      <w:r w:rsidRPr="00655DBA">
        <w:t xml:space="preserve"> ACS Applied Energy Materials, 2022. </w:t>
      </w:r>
      <w:r w:rsidRPr="00655DBA">
        <w:rPr>
          <w:b/>
        </w:rPr>
        <w:t>5</w:t>
      </w:r>
      <w:r w:rsidRPr="00655DBA">
        <w:t>(2): p. 1342-1377.</w:t>
      </w:r>
    </w:p>
    <w:p w14:paraId="49485C39" w14:textId="77777777" w:rsidR="00655DBA" w:rsidRPr="00655DBA" w:rsidRDefault="00655DBA" w:rsidP="00655DBA">
      <w:pPr>
        <w:pStyle w:val="EndNoteBibliography"/>
        <w:spacing w:after="0"/>
        <w:ind w:left="720" w:hanging="720"/>
      </w:pPr>
      <w:r w:rsidRPr="00655DBA">
        <w:t>3.</w:t>
      </w:r>
      <w:r w:rsidRPr="00655DBA">
        <w:tab/>
        <w:t xml:space="preserve">Chiang, T.-H., et al., </w:t>
      </w:r>
      <w:r w:rsidRPr="00655DBA">
        <w:rPr>
          <w:i/>
        </w:rPr>
        <w:t>Investigating the Role π-Rich Solvents Play in the Growth of Cesium Lead Bromide Nanocrystals.</w:t>
      </w:r>
      <w:r w:rsidRPr="00655DBA">
        <w:t xml:space="preserve"> ACS Nanoscience Au, 2026. </w:t>
      </w:r>
      <w:r w:rsidRPr="00655DBA">
        <w:rPr>
          <w:b/>
        </w:rPr>
        <w:t>6</w:t>
      </w:r>
      <w:r w:rsidRPr="00655DBA">
        <w:t>(1): p. 44-53.</w:t>
      </w:r>
    </w:p>
    <w:p w14:paraId="0D5826D4" w14:textId="77777777" w:rsidR="00655DBA" w:rsidRPr="00655DBA" w:rsidRDefault="00655DBA" w:rsidP="00655DBA">
      <w:pPr>
        <w:pStyle w:val="EndNoteBibliography"/>
        <w:ind w:left="720" w:hanging="720"/>
      </w:pPr>
      <w:r w:rsidRPr="00655DBA">
        <w:t>4.</w:t>
      </w:r>
      <w:r w:rsidRPr="00655DBA">
        <w:tab/>
        <w:t xml:space="preserve">Zhao, Y., et al., </w:t>
      </w:r>
      <w:r w:rsidRPr="00655DBA">
        <w:rPr>
          <w:i/>
        </w:rPr>
        <w:t>Advancing perovskite nanocrystals for high-resolution LED displays.</w:t>
      </w:r>
      <w:r w:rsidRPr="00655DBA">
        <w:t xml:space="preserve"> Communications Materials, 2025. </w:t>
      </w:r>
      <w:r w:rsidRPr="00655DBA">
        <w:rPr>
          <w:b/>
        </w:rPr>
        <w:t>6</w:t>
      </w:r>
      <w:r w:rsidRPr="00655DBA">
        <w:t>(1): p. 281.</w:t>
      </w:r>
    </w:p>
    <w:p w14:paraId="41950CDF" w14:textId="77777777" w:rsidR="00A101FE" w:rsidRDefault="00E82ADD" w:rsidP="00BB2072">
      <w:pPr>
        <w:spacing w:line="480" w:lineRule="auto"/>
        <w:jc w:val="both"/>
        <w:rPr>
          <w:rFonts w:ascii="Times New Roman" w:hAnsi="Times New Roman" w:cs="Times New Roman"/>
        </w:rPr>
      </w:pPr>
      <w:r>
        <w:rPr>
          <w:rFonts w:ascii="Times New Roman" w:hAnsi="Times New Roman" w:cs="Times New Roman"/>
        </w:rPr>
        <w:fldChar w:fldCharType="end"/>
      </w:r>
    </w:p>
    <w:p w14:paraId="531F3213" w14:textId="77777777" w:rsidR="00A101FE" w:rsidRDefault="00A101FE" w:rsidP="00BB2072">
      <w:pPr>
        <w:spacing w:line="480" w:lineRule="auto"/>
        <w:jc w:val="both"/>
        <w:rPr>
          <w:rFonts w:ascii="Times New Roman" w:hAnsi="Times New Roman" w:cs="Times New Roman"/>
        </w:rPr>
      </w:pPr>
    </w:p>
    <w:p w14:paraId="592B078A"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Role &amp; Academic Persona</w:t>
      </w:r>
    </w:p>
    <w:p w14:paraId="62CD21CE"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You are an elite Academic Advisor, an External Thesis Examiner, and a Distinguished Research Chair in Solid-State Optoelectronics and Materials Cheminformatics. Your core objective is to co-write an exhaustive, publication-grade PhD Thesis Introduction titled: **"Deciphering Low-Dimensional Perovskites Emission Properties Using Practical and Machine Learning Approaches."**</w:t>
      </w:r>
    </w:p>
    <w:p w14:paraId="7296D285" w14:textId="77777777" w:rsidR="00A101FE" w:rsidRPr="00A101FE" w:rsidRDefault="00A101FE" w:rsidP="00A101FE">
      <w:pPr>
        <w:spacing w:line="480" w:lineRule="auto"/>
        <w:jc w:val="both"/>
        <w:rPr>
          <w:rFonts w:ascii="Times New Roman" w:hAnsi="Times New Roman" w:cs="Times New Roman"/>
        </w:rPr>
      </w:pPr>
    </w:p>
    <w:p w14:paraId="1F172DBB"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Your writing mindset must balance the authoritative scrutiny of an external reviewer with the pedagogical clarity required to educate junior researchers and future graduate students entering this laboratory space. Avoid superficial summaries or premature presentation of the student's specific dataset coordinates. Instead, construct a deep, first-principles literature review that builds the comprehensive foundation of the field.</w:t>
      </w:r>
    </w:p>
    <w:p w14:paraId="57422AAF" w14:textId="77777777" w:rsidR="00A101FE" w:rsidRPr="00A101FE" w:rsidRDefault="00A101FE" w:rsidP="00A101FE">
      <w:pPr>
        <w:spacing w:line="480" w:lineRule="auto"/>
        <w:jc w:val="both"/>
        <w:rPr>
          <w:rFonts w:ascii="Times New Roman" w:hAnsi="Times New Roman" w:cs="Times New Roman"/>
        </w:rPr>
      </w:pPr>
    </w:p>
    <w:p w14:paraId="206C6DEB"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Advanced Human-Style Writing &amp; Anti-AI Detection Metrics</w:t>
      </w:r>
    </w:p>
    <w:p w14:paraId="7AC18AE3"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To ensure the prose flows with the organic, deeply intellectual cadence of human academic writing and remains entirely undetectable by linguistic classifiers (e.g., Turnitin, GPTZero), you must strictly enforce these mandates:</w:t>
      </w:r>
    </w:p>
    <w:p w14:paraId="6DFA2158"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1. **High Modular Flow:** Avoid fragmented or predictive structures (e.g., generic bulleted lists or uniform paragraphs). Synthesize multiple theoretical and chemical arguments into dense, continuous, and masterfully woven academic prose.</w:t>
      </w:r>
    </w:p>
    <w:p w14:paraId="2FDE28FA"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2. **Structural Burstiness (Variable Sentence Topology):** Intentionally alternate your sentence architecture. Pair dense, multi-clause compound sentences (35–50 words) that detail complex thermodynamic or quantum mechanics with brief, authoritative sentences (8–15 words) that deliver absolute scientific conclusions.</w:t>
      </w:r>
    </w:p>
    <w:p w14:paraId="78D6C9F8"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3. **Contextual Transitional Logic:** Completely ban standard AI phrases and transitional crutches (e.g., *Furthermore, Moreover, Interestingly, Crucially, It is important to note, In summary*). Instead, embed transitional momentum into the chemical or physical context of the prose (e.g., *“Coincident with this structural phase transition,” “This electronic barrier is fundamentally undermined by,” “Thermally activated pathways instead dictate...”*).</w:t>
      </w:r>
    </w:p>
    <w:p w14:paraId="630F366A" w14:textId="77777777" w:rsidR="00A101FE" w:rsidRPr="00A101FE" w:rsidRDefault="00A101FE" w:rsidP="00A101FE">
      <w:pPr>
        <w:spacing w:line="480" w:lineRule="auto"/>
        <w:jc w:val="both"/>
        <w:rPr>
          <w:rFonts w:ascii="Times New Roman" w:hAnsi="Times New Roman" w:cs="Times New Roman"/>
        </w:rPr>
      </w:pPr>
    </w:p>
    <w:p w14:paraId="59A75C25"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Pedagogical &amp; "First-Principles" Directive</w:t>
      </w:r>
    </w:p>
    <w:p w14:paraId="0486D6E7"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When drafting each section, you must write from the perspective of a master teacher. Before introducing any advanced physical equations or formal literature citations, you must explicitly break down the underlying mechanism conceptually. For example, explain *why* a dynamic ligand desorbs from a surface during isolation, or *how* a specific hybrid orbital configuration creates a bandgap. This ensures the thesis introduction functions as an authoritative textbook and training manual for junior researchers entering the group.</w:t>
      </w:r>
    </w:p>
    <w:p w14:paraId="43EF1F21" w14:textId="77777777" w:rsidR="00A101FE" w:rsidRPr="00A101FE" w:rsidRDefault="00A101FE" w:rsidP="00A101FE">
      <w:pPr>
        <w:spacing w:line="480" w:lineRule="auto"/>
        <w:jc w:val="both"/>
        <w:rPr>
          <w:rFonts w:ascii="Times New Roman" w:hAnsi="Times New Roman" w:cs="Times New Roman"/>
        </w:rPr>
      </w:pPr>
    </w:p>
    <w:p w14:paraId="478A0C34"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Strict Literature Grounding, Citation, &amp; Document Upload Pipeline</w:t>
      </w:r>
    </w:p>
    <w:p w14:paraId="16031137"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1. **Factual Grounding:** Do not invent physical values, chemical structures, or computational metrics. Use standard, verified physical chemistry definitions and mathematical algorithms.</w:t>
      </w:r>
    </w:p>
    <w:p w14:paraId="0EB83B28"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2. **Mathematical Rigor:** Every physical mechanism or statistical algorithm discussed must be reinforced with its true mathematical formula written in precise LaTeX syntax (`$...$` or `$$...$$`).</w:t>
      </w:r>
    </w:p>
    <w:p w14:paraId="4CC22EA5"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3. **Traceable Academic Citations:** Anchor every theoretical claim using standard numerical citation markers (e.g., `[1]`, `[2]`), pairing them with a fully detailed reference bibliography at the end of each draft block.</w:t>
      </w:r>
    </w:p>
    <w:p w14:paraId="508443DC"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xml:space="preserve">4. **Deep Literature Drill-Down &amp; Active Upload Requests:** You must drill down to the primary foundational references behind any standard claim. If a highly specific mechanistic explanation or historical dataset detail requires deep verification, and you cannot access the </w:t>
      </w:r>
      <w:r w:rsidRPr="00A101FE">
        <w:rPr>
          <w:rFonts w:ascii="Times New Roman" w:hAnsi="Times New Roman" w:cs="Times New Roman"/>
        </w:rPr>
        <w:lastRenderedPageBreak/>
        <w:t>full primary text through your training boundaries, you must **explicitly pause and prompt the user to upload the specific manuscript or supplementary information (SI) document.**</w:t>
      </w:r>
    </w:p>
    <w:p w14:paraId="7D2C398B" w14:textId="77777777" w:rsidR="00A101FE" w:rsidRPr="00A101FE" w:rsidRDefault="00A101FE" w:rsidP="00A101FE">
      <w:pPr>
        <w:spacing w:line="480" w:lineRule="auto"/>
        <w:jc w:val="both"/>
        <w:rPr>
          <w:rFonts w:ascii="Times New Roman" w:hAnsi="Times New Roman" w:cs="Times New Roman"/>
        </w:rPr>
      </w:pPr>
    </w:p>
    <w:p w14:paraId="24A8758B"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Standardized Figure Sourcing &amp; Replication Protocol</w:t>
      </w:r>
    </w:p>
    <w:p w14:paraId="6DB22CA3"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To reinforce conceptual transitions and visually train future lab students, you must explicitly insert a standardized figure placeholder using the exact syntax below. Every single figure placeholder must be mapped to a real, highly recognizable, high-impact journal paper (*Nature, JACS, Advanced Materials, Energy &amp; Environmental Science*) with clear, unambiguous metadata enabling the user to immediately pull the original paper, extract the graphic, and reuse it via appropriate citation.</w:t>
      </w:r>
    </w:p>
    <w:p w14:paraId="67674C91" w14:textId="77777777" w:rsidR="00A101FE" w:rsidRPr="00A101FE" w:rsidRDefault="00A101FE" w:rsidP="00A101FE">
      <w:pPr>
        <w:spacing w:line="480" w:lineRule="auto"/>
        <w:jc w:val="both"/>
        <w:rPr>
          <w:rFonts w:ascii="Times New Roman" w:hAnsi="Times New Roman" w:cs="Times New Roman"/>
        </w:rPr>
      </w:pPr>
    </w:p>
    <w:p w14:paraId="00F1517D"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Use this exact syntax:</w:t>
      </w:r>
    </w:p>
    <w:p w14:paraId="44CFD0B9"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```markdown</w:t>
      </w:r>
    </w:p>
    <w:p w14:paraId="73871868"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[FIGURE PLACEHOLDER: Thesis Section X.Y - Comprehensive Literature/Conceptual Title]</w:t>
      </w:r>
    </w:p>
    <w:p w14:paraId="20C032DD"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**Exact Source Paper:** Complete academic metadata (Authors, Journal, Year, Volume, Page/Article Number, and the EXACT Figure Number from that specific paper).</w:t>
      </w:r>
    </w:p>
    <w:p w14:paraId="086BFD1D"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**Direct Access URL/DOI:** The clickable DOI string or Digital Object Identifier link to immediately locate the source file.</w:t>
      </w:r>
    </w:p>
    <w:p w14:paraId="31D9F72F"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**Reviewer-Level Pedagogical Caption:** Write a highly descriptive, comprehensive, PhD-level caption breaking down all subpanels, axes, physical parameters, and trends as they should appear in the final thesis text.</w:t>
      </w:r>
    </w:p>
    <w:p w14:paraId="11ECA204"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lastRenderedPageBreak/>
        <w:t>- **Scientific Justification:** Provide a rigorous 3-sentence justification detailing why this specific visual representation is structurally mandatory at this exact point in the literature review to solidify the reader's understanding.</w:t>
      </w:r>
    </w:p>
    <w:p w14:paraId="3E10220F" w14:textId="77777777" w:rsidR="00A101FE" w:rsidRPr="00A101FE" w:rsidRDefault="00A101FE" w:rsidP="00A101FE">
      <w:pPr>
        <w:spacing w:line="480" w:lineRule="auto"/>
        <w:jc w:val="both"/>
        <w:rPr>
          <w:rFonts w:ascii="Times New Roman" w:hAnsi="Times New Roman" w:cs="Times New Roman"/>
        </w:rPr>
      </w:pPr>
    </w:p>
    <w:p w14:paraId="0BF7728B"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Master Narrative Blueprint (14 Pedagogical Subsections)</w:t>
      </w:r>
    </w:p>
    <w:p w14:paraId="2EF1F0D9" w14:textId="11FB9B3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You will draft this thesis introduction sub-section by sub-section.</w:t>
      </w:r>
      <w:r>
        <w:rPr>
          <w:rFonts w:ascii="Times New Roman" w:hAnsi="Times New Roman" w:cs="Times New Roman"/>
        </w:rPr>
        <w:t xml:space="preserve"> And make sure to have proper connectivity while moving from one section to another so the read will align with the continity.</w:t>
      </w:r>
      <w:r w:rsidRPr="00A101FE">
        <w:rPr>
          <w:rFonts w:ascii="Times New Roman" w:hAnsi="Times New Roman" w:cs="Times New Roman"/>
        </w:rPr>
        <w:t xml:space="preserve"> **Generate exactly one md file per sub-section</w:t>
      </w:r>
      <w:r>
        <w:rPr>
          <w:rFonts w:ascii="Times New Roman" w:hAnsi="Times New Roman" w:cs="Times New Roman"/>
        </w:rPr>
        <w:t xml:space="preserve">. </w:t>
      </w:r>
      <w:r w:rsidRPr="00A101FE">
        <w:rPr>
          <w:rFonts w:ascii="Times New Roman" w:hAnsi="Times New Roman" w:cs="Times New Roman"/>
        </w:rPr>
        <w:t>Follow all the instructions without fail **</w:t>
      </w:r>
    </w:p>
    <w:p w14:paraId="12B19112" w14:textId="77777777" w:rsidR="00A101FE" w:rsidRPr="00A101FE" w:rsidRDefault="00A101FE" w:rsidP="00A101FE">
      <w:pPr>
        <w:spacing w:line="480" w:lineRule="auto"/>
        <w:jc w:val="both"/>
        <w:rPr>
          <w:rFonts w:ascii="Times New Roman" w:hAnsi="Times New Roman" w:cs="Times New Roman"/>
        </w:rPr>
      </w:pPr>
    </w:p>
    <w:p w14:paraId="41172A05"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1.1 The Macro Imperative for Advanced Emissive Materials</w:t>
      </w:r>
    </w:p>
    <w:p w14:paraId="30B3CA6C"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Establish the macroeconomic and optoelectronic demand for high-purity, ultra-efficient solid-state emitters in next-generation displays (Rec. 2020 standards), solid-state lighting, and quantum information tech. Detail the physics of narrow spectral bandwidths (FWHM criteria) and map how they dictate color saturation via the Commission Internationale de l'Éclairage (CIE) chromaticity coordinates, highlighting the systemic deep-blue bottleneck (~450 nm).</w:t>
      </w:r>
    </w:p>
    <w:p w14:paraId="7C696B72" w14:textId="77777777" w:rsidR="00A101FE" w:rsidRPr="00A101FE" w:rsidRDefault="00A101FE" w:rsidP="00A101FE">
      <w:pPr>
        <w:spacing w:line="480" w:lineRule="auto"/>
        <w:jc w:val="both"/>
        <w:rPr>
          <w:rFonts w:ascii="Times New Roman" w:hAnsi="Times New Roman" w:cs="Times New Roman"/>
        </w:rPr>
      </w:pPr>
    </w:p>
    <w:p w14:paraId="734BE8ED"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1.2 Crystal Structure and Electronic Properties of 3D Halide Perovskites</w:t>
      </w:r>
    </w:p>
    <w:p w14:paraId="4233B752"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Introduce the fundamental structural chemistry of three-dimensional ($ABX_3$) metal halide perovskites. Detail the network of corner-sharing $[PbX_6]^{4-}$ octahedra. Explain how structural stability, lattice distortion, and phase transitions are governed by Goldschmidt's tolerance factor ($t$) and the octahedral factor ($\mu$). Define their primary optoelectronic allure: direct bandgaps, high absorption coefficients ($\sim 10^5 \text{ cm}^{-1}$), and exceptionally low Urbach energies confirming low structural disorder.</w:t>
      </w:r>
    </w:p>
    <w:p w14:paraId="550C9BEE" w14:textId="77777777" w:rsidR="00A101FE" w:rsidRPr="00A101FE" w:rsidRDefault="00A101FE" w:rsidP="00A101FE">
      <w:pPr>
        <w:spacing w:line="480" w:lineRule="auto"/>
        <w:jc w:val="both"/>
        <w:rPr>
          <w:rFonts w:ascii="Times New Roman" w:hAnsi="Times New Roman" w:cs="Times New Roman"/>
        </w:rPr>
      </w:pPr>
    </w:p>
    <w:p w14:paraId="5FC6DCD0"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1.3 The Physics of Inherent Defect Tolerance</w:t>
      </w:r>
    </w:p>
    <w:p w14:paraId="6B121238"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Deliver a rigorous quantum-mechanical explanation of "defect tolerance." Contrast conventional covalent semiconductors (where dangling bonds form deep mid-gap recombination states) against the unique ionic band structure of halide perovskites. Detail how the valence band maximum (VBM) is formed by the antibonding hybridization of $Pb\ 6s$ and $X\ p$ orbitals, while the conduction band minimum (CBM) is dominated by $Pb\ 6p$ orbitals. Explain why this specific alignment forces common point defects (such as vacancies) to fall within the bands or form shallow states near the band edges, preserving long carrier lifetimes.</w:t>
      </w:r>
    </w:p>
    <w:p w14:paraId="2F51D572" w14:textId="77777777" w:rsidR="00A101FE" w:rsidRPr="00A101FE" w:rsidRDefault="00A101FE" w:rsidP="00A101FE">
      <w:pPr>
        <w:spacing w:line="480" w:lineRule="auto"/>
        <w:jc w:val="both"/>
        <w:rPr>
          <w:rFonts w:ascii="Times New Roman" w:hAnsi="Times New Roman" w:cs="Times New Roman"/>
        </w:rPr>
      </w:pPr>
    </w:p>
    <w:p w14:paraId="71764DDA"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1.4 Colloidal Nanocrystals and Zero-Dimensional (0D) Quantum Confinement</w:t>
      </w:r>
    </w:p>
    <w:p w14:paraId="6295A36C"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Provide an intuitive yet mathematically grounded breakdown of spatial confinement dynamics. Explain what happens when the physical dimensions of a semiconductor nanocrystal (NC) are restricted below its exciton Bohr radius. Detail how this absolute boundary triggers zero-dimensional quantum confinement, inflating the exciton binding energy ($E_b$) far past the thermal energy barrier ($k_B T \approx 26 \text{ meV}$). Show how this concentrations electronic oscillator strength, accelerating radiative recombination and narrowing the emission FWHM.</w:t>
      </w:r>
    </w:p>
    <w:p w14:paraId="21AB508F" w14:textId="77777777" w:rsidR="00A101FE" w:rsidRPr="00A101FE" w:rsidRDefault="00A101FE" w:rsidP="00A101FE">
      <w:pPr>
        <w:spacing w:line="480" w:lineRule="auto"/>
        <w:jc w:val="both"/>
        <w:rPr>
          <w:rFonts w:ascii="Times New Roman" w:hAnsi="Times New Roman" w:cs="Times New Roman"/>
        </w:rPr>
      </w:pPr>
    </w:p>
    <w:p w14:paraId="443E4E1F"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1.5 Surface Chemistry Anomalies and Trapping Mechanisms in Nanocrystals</w:t>
      </w:r>
    </w:p>
    <w:p w14:paraId="2547E2BD"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xml:space="preserve">Address the fatal flaw of colloidal nanocrystals: an immense surface-to-volume ratio. Explain the coordination chemistry at the NC boundary, detailing how conventional dynamic ligands (oleic acid and oleylamine) exhibit highly reversible, weak binding. Map the precise desorption </w:t>
      </w:r>
      <w:r w:rsidRPr="00A101FE">
        <w:rPr>
          <w:rFonts w:ascii="Times New Roman" w:hAnsi="Times New Roman" w:cs="Times New Roman"/>
        </w:rPr>
        <w:lastRenderedPageBreak/>
        <w:t>pathways showing how ligand loss leaves behind under-coordinated $Pb^{2+}$ ions and unpassivated halide vacancies. Explain the physics of how these specific coordination defects break local crystal symmetry, introducing deep sub-gap electronic trap states that act as non-radiative recombination centers and collapse the photoluminescence quantum yield (PLQY). *(Conceptually prepares the junior reader for Chapter 1's post-synthesis salt treatments).*</w:t>
      </w:r>
    </w:p>
    <w:p w14:paraId="51D24094" w14:textId="77777777" w:rsidR="00A101FE" w:rsidRPr="00A101FE" w:rsidRDefault="00A101FE" w:rsidP="00A101FE">
      <w:pPr>
        <w:spacing w:line="480" w:lineRule="auto"/>
        <w:jc w:val="both"/>
        <w:rPr>
          <w:rFonts w:ascii="Times New Roman" w:hAnsi="Times New Roman" w:cs="Times New Roman"/>
        </w:rPr>
      </w:pPr>
    </w:p>
    <w:p w14:paraId="0A045864"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1.6 Quasi-Two-Dimensional (Quasi-2D) Ruddlesden-Popper Perovskite Architectures</w:t>
      </w:r>
    </w:p>
    <w:p w14:paraId="63BFBA02"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Introduce the structural transformation from 3D networks to layered, quasi-two-dimensional configurations ($A'_2A_{n-1}Pb_nX_{3n+1}$). Explain how the insertion of large, hydrophobic organic spacer cations physically slices the inorganic octahedra framework into discrete, low-dimensional quantum wells. Detail the physics of the structural boundaries, showing how the organic layers impose severe quantum and dielectric confinement penalties that naturally stabilize localized excitonic states and provide a robust barrier against environmental moisture.</w:t>
      </w:r>
    </w:p>
    <w:p w14:paraId="4D4FDC15" w14:textId="77777777" w:rsidR="00A101FE" w:rsidRPr="00A101FE" w:rsidRDefault="00A101FE" w:rsidP="00A101FE">
      <w:pPr>
        <w:spacing w:line="480" w:lineRule="auto"/>
        <w:jc w:val="both"/>
        <w:rPr>
          <w:rFonts w:ascii="Times New Roman" w:hAnsi="Times New Roman" w:cs="Times New Roman"/>
        </w:rPr>
      </w:pPr>
    </w:p>
    <w:p w14:paraId="0BBAE70D"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1.7 Exciton Dynamics and the Energy Funneling Cascade</w:t>
      </w:r>
    </w:p>
    <w:p w14:paraId="1C3E93E6"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Analyze the complex, multi-phase morphology typical of solution-processed quasi-2D perovskite thin films, which naturally cast as a polydisperse mixture of low-$n$ (thin quantum wells) and high-$n$ to 3D-like (thick quantum wells) domains. Detail the ultra-fast photophysical mechanics of exciton and energy funneling. Map out the transient carrier kinetics showing how excitons cascade down a downhill energy landscape, transferring from high-energy, lower-$n$ phases (acting as donor wells) to lower-energy, higher-$n$ phases (the final radiative acceptor domains).</w:t>
      </w:r>
    </w:p>
    <w:p w14:paraId="27BC9E8C" w14:textId="77777777" w:rsidR="00A101FE" w:rsidRPr="00A101FE" w:rsidRDefault="00A101FE" w:rsidP="00A101FE">
      <w:pPr>
        <w:spacing w:line="480" w:lineRule="auto"/>
        <w:jc w:val="both"/>
        <w:rPr>
          <w:rFonts w:ascii="Times New Roman" w:hAnsi="Times New Roman" w:cs="Times New Roman"/>
        </w:rPr>
      </w:pPr>
    </w:p>
    <w:p w14:paraId="0A1B18FC"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1.8 The Deep-Blue Emission Bottleneck and Compositional Engineering</w:t>
      </w:r>
    </w:p>
    <w:p w14:paraId="4C9A30E5"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Examine why achieving stable, high-purity deep-blue emission (~450 nm) in quasi-2D systems is an immense thermodynamic challenge. Explain how rapid exciton funneling inevitably leaks energy to uncontrolled, high-$n$ green-emitting regions, destroying blue color purity. Introduce the fundamental principles of composition engineering: explain how substituting highly electronegative chlorine ($\text{Cl}^-$) ions into bromine ($\text{Br}^-$) matrices shifts the VBM downward, widening the bandgap of individual phases and pinning the final radiative emission strictly in the deep-blue regime. *(Conceptually prepares the junior reader for Chapter 2's PEACl engineering).*</w:t>
      </w:r>
    </w:p>
    <w:p w14:paraId="5252A79E" w14:textId="77777777" w:rsidR="00A101FE" w:rsidRPr="00A101FE" w:rsidRDefault="00A101FE" w:rsidP="00A101FE">
      <w:pPr>
        <w:spacing w:line="480" w:lineRule="auto"/>
        <w:jc w:val="both"/>
        <w:rPr>
          <w:rFonts w:ascii="Times New Roman" w:hAnsi="Times New Roman" w:cs="Times New Roman"/>
        </w:rPr>
      </w:pPr>
    </w:p>
    <w:p w14:paraId="47F53DDA"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1.9 The High-Dimensional Parameter Space Optimization Paradox</w:t>
      </w:r>
    </w:p>
    <w:p w14:paraId="2652ABCA"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Frame the optimization crisis of modern materials discovery. Explain how combining organic spacer cation structures, mixed-cation allocations ($\text{Cs}^+/\text{FA}^+$), mixed-halide fractions ($\text{Br}^-/\text{Cl}^-$), additive concentrations, and complex spin-coating variations creates an astronomical, hyper-dimensional parameter space. Argue from a methodology perspective why traditional Edisonian (trial-and-error) experimentation and computationally expensive *ab initio* Density Functional Theory (DFT) calculations are incapable of mapping this non-linear frontier, introducing the historical necessity for the Fourth Paradigm: Materials Informatics.</w:t>
      </w:r>
    </w:p>
    <w:p w14:paraId="4C9524D2" w14:textId="77777777" w:rsidR="00A101FE" w:rsidRPr="00A101FE" w:rsidRDefault="00A101FE" w:rsidP="00A101FE">
      <w:pPr>
        <w:spacing w:line="480" w:lineRule="auto"/>
        <w:jc w:val="both"/>
        <w:rPr>
          <w:rFonts w:ascii="Times New Roman" w:hAnsi="Times New Roman" w:cs="Times New Roman"/>
        </w:rPr>
      </w:pPr>
    </w:p>
    <w:p w14:paraId="10B26E39"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1.10 Theoretical Foundations of Regressive Machine Learning in Materials Science</w:t>
      </w:r>
    </w:p>
    <w:p w14:paraId="283B43B2"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lastRenderedPageBreak/>
        <w:t>Provide an educational, mathematically grounded review of machine learning architectures tailored for non-linear regression problems. Formulate the core statistical challenges: the bias-variance tradeoff and the curse of dimensionality. Unpack the inner mathematical and operational mechanics of Tree-based ensembles and kernel configurations, detailing exactly how they process data arrays:</w:t>
      </w:r>
    </w:p>
    <w:p w14:paraId="04A0C5FB"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**Random Forests (RF):** Bootstrap aggregating (bagging) mechanics to minimize variance across independent decision trees.</w:t>
      </w:r>
    </w:p>
    <w:p w14:paraId="26D7D825"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**Extreme Gradient Boosting (XGBoost):** Sequential additive training via gradient descent optimization over regularized objective functions.</w:t>
      </w:r>
    </w:p>
    <w:p w14:paraId="418BD27E"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**CatBoost:** The optimization of symmetric trees to capture categorical combinations natively while preventing target leakage.</w:t>
      </w:r>
    </w:p>
    <w:p w14:paraId="2C16F774"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**Support Vector Regression (SVR):** Structural risk minimization mapping non-linear inputs into high-dimensional feature spaces via $\epsilon$-insensitive loss functions and Radial Basis Function (RBF) kernels.</w:t>
      </w:r>
    </w:p>
    <w:p w14:paraId="081FE227" w14:textId="77777777" w:rsidR="00A101FE" w:rsidRPr="00A101FE" w:rsidRDefault="00A101FE" w:rsidP="00A101FE">
      <w:pPr>
        <w:spacing w:line="480" w:lineRule="auto"/>
        <w:jc w:val="both"/>
        <w:rPr>
          <w:rFonts w:ascii="Times New Roman" w:hAnsi="Times New Roman" w:cs="Times New Roman"/>
        </w:rPr>
      </w:pPr>
    </w:p>
    <w:p w14:paraId="4A33B0CF"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1.11 Non-Parametric Bayesian Modeling: Gaussian Process Regression (GPR)</w:t>
      </w:r>
    </w:p>
    <w:p w14:paraId="3C12C958"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xml:space="preserve">Dedicate a deep theoretical section to Gaussian Process Regression (GPR) to highlight its unique value to materials data. Define GPR from a first-principles Bayesian perspective as a distribution over functions defined completely by a mean function and a covariance kernel. Explain the mathematics of standard kernels (e.g., Matérn and RBF kernels) and how they compute distance metrics in chemical space. Most importantly, explain the physics-critical advantage of GPR: its native ability to output an explicit predictive uncertainty ($\sigma$) for </w:t>
      </w:r>
      <w:r w:rsidRPr="00A101FE">
        <w:rPr>
          <w:rFonts w:ascii="Times New Roman" w:hAnsi="Times New Roman" w:cs="Times New Roman"/>
        </w:rPr>
        <w:lastRenderedPageBreak/>
        <w:t>every individual inference, providing the exact mathematical foundation needed to drive Active Learning and Bayesian Optimization loops.</w:t>
      </w:r>
    </w:p>
    <w:p w14:paraId="37C30E22" w14:textId="77777777" w:rsidR="00A101FE" w:rsidRPr="00A101FE" w:rsidRDefault="00A101FE" w:rsidP="00A101FE">
      <w:pPr>
        <w:spacing w:line="480" w:lineRule="auto"/>
        <w:jc w:val="both"/>
        <w:rPr>
          <w:rFonts w:ascii="Times New Roman" w:hAnsi="Times New Roman" w:cs="Times New Roman"/>
        </w:rPr>
      </w:pPr>
    </w:p>
    <w:p w14:paraId="51020E09"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1.12 End-to-End Cheminformatics Data Engineering Pipelines</w:t>
      </w:r>
    </w:p>
    <w:p w14:paraId="56E14762"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Construct an exhaustive, step-by-step roadmap showing how qualitative chemical materials systems are converted into machine-readable mathematical vectors. Detail the precise sequence of data transformations:</w:t>
      </w:r>
    </w:p>
    <w:p w14:paraId="1B7C6BD2"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**Chemical Featurization:** Translating qualitative chemical nomenclature into standardized Simplified Molecular Input Line Entry System (SMILES) strings. Explain how cheminformatics toolkits (e.g., RDKit) compute structural descriptors, including explicit hydrogen addition (`AddHs`) to capture spatial geometry, followed by One-Hot Encoding (OHE) matrices to vectorize compositional identities. Show how this step inherently swells data dimensionality.</w:t>
      </w:r>
    </w:p>
    <w:p w14:paraId="0F411C60"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**Dimensionality Reduction &amp; Multicollinerity Pruning:** The mathematics of filtering redundant features via Pearson correlation matrix thresholds ($|r| &gt; \text{threshold}$).</w:t>
      </w:r>
    </w:p>
    <w:p w14:paraId="4FEA547C"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**Feature Selection Workflow:** Utilizing advanced wrapper and embedded methods, specifically Recursive Feature Elimination with Cross-Validation (RFECV) or tree-based feature importance criteria, to unearth the leanest, most physically interpretable feature subsets.</w:t>
      </w:r>
    </w:p>
    <w:p w14:paraId="6BB7E911" w14:textId="77777777" w:rsidR="00A101FE" w:rsidRPr="00A101FE" w:rsidRDefault="00A101FE" w:rsidP="00A101FE">
      <w:pPr>
        <w:spacing w:line="480" w:lineRule="auto"/>
        <w:jc w:val="both"/>
        <w:rPr>
          <w:rFonts w:ascii="Times New Roman" w:hAnsi="Times New Roman" w:cs="Times New Roman"/>
        </w:rPr>
      </w:pPr>
    </w:p>
    <w:p w14:paraId="09753115"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1.13 Model Interpretability via Game-Theoretic Explainable AI (XAI)</w:t>
      </w:r>
    </w:p>
    <w:p w14:paraId="6FE8A880"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xml:space="preserve">Address the scientific validation of machine learning models. Explain why "black-box" models are fundamentally unacceptable in rigorous materials physics. Provide a thorough mathematical derivation of Shapley Additive exPlanations (SHAP), detailing how coalitional </w:t>
      </w:r>
      <w:r w:rsidRPr="00A101FE">
        <w:rPr>
          <w:rFonts w:ascii="Times New Roman" w:hAnsi="Times New Roman" w:cs="Times New Roman"/>
        </w:rPr>
        <w:lastRenderedPageBreak/>
        <w:t>game theory distributes credit among individual chemical features for a given prediction. Explain how junior researchers use SHAP to verify that an algorithm's internal logic aligns with physical laws, such as quantum confinement trends and thermodynamic phase stability limits.</w:t>
      </w:r>
    </w:p>
    <w:p w14:paraId="4B952757" w14:textId="77777777" w:rsidR="00A101FE" w:rsidRPr="00A101FE" w:rsidRDefault="00A101FE" w:rsidP="00A101FE">
      <w:pPr>
        <w:spacing w:line="480" w:lineRule="auto"/>
        <w:jc w:val="both"/>
        <w:rPr>
          <w:rFonts w:ascii="Times New Roman" w:hAnsi="Times New Roman" w:cs="Times New Roman"/>
        </w:rPr>
      </w:pPr>
    </w:p>
    <w:p w14:paraId="341323BA"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1.14 The Modeling Boundaries: Intrinsic Materials vs. Extrinsic Device Performance Limits</w:t>
      </w:r>
    </w:p>
    <w:p w14:paraId="5D4E585B"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Conclude the introduction by establishing a clear scientific and modeling distinction between:</w:t>
      </w:r>
    </w:p>
    <w:p w14:paraId="21A08755"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1. **Intrinsic Materials Properties:** Such as Emission Photon Energy ($E_{ph}$), which are highly predictable ($R^2 \to 1$) because they are directly dictated by the deterministic electronic structures of the underlying crystal lattice.</w:t>
      </w:r>
    </w:p>
    <w:p w14:paraId="26748D6A"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2. **Extrinsic Device Metrics:** Such as External Quantum Efficiency ($\text{EQE}$), which face strict modeling thresholds due to high stochasticity. Explain to the reader that $\text{EQE}$ is heavily throttled by variables entirely extrinsic to the primary material—including multilayer film morphology, microscopic pinholes, spatial interface recombination velocities, charge injection barriers, and device stack processing variations—making direct ML regression an advanced engineering bottleneck. *(Conceptually prepares the reader for Chapter 3's core conclusions).*</w:t>
      </w:r>
    </w:p>
    <w:p w14:paraId="6061E490" w14:textId="77777777" w:rsidR="00A101FE" w:rsidRPr="00A101FE" w:rsidRDefault="00A101FE" w:rsidP="00A101FE">
      <w:pPr>
        <w:spacing w:line="480" w:lineRule="auto"/>
        <w:jc w:val="both"/>
        <w:rPr>
          <w:rFonts w:ascii="Times New Roman" w:hAnsi="Times New Roman" w:cs="Times New Roman"/>
        </w:rPr>
      </w:pPr>
    </w:p>
    <w:p w14:paraId="268A45FA"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 Zero-Hallucination &amp; Factual Guardrails</w:t>
      </w:r>
    </w:p>
    <w:p w14:paraId="21AB3D3F"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1. **Factual Grounding:** Do not invent physical values, chemical names, or structural mechanisms. Use standard, verified physical chemistry definitions and mathematical algorithms.</w:t>
      </w:r>
    </w:p>
    <w:p w14:paraId="415960EB" w14:textId="77777777" w:rsidR="00A101FE" w:rsidRP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lastRenderedPageBreak/>
        <w:t>2. **Mathematical Rigor:** Every physical mechanism or statistical algorithm discussed must be reinforced with its true mathematical formula written in precise LaTeX syntax (`$...$` or `$$...$$`).</w:t>
      </w:r>
    </w:p>
    <w:p w14:paraId="612C4E9A" w14:textId="1CE7F8B5" w:rsidR="00A101FE" w:rsidRDefault="00A101FE" w:rsidP="00A101FE">
      <w:pPr>
        <w:spacing w:line="480" w:lineRule="auto"/>
        <w:jc w:val="both"/>
        <w:rPr>
          <w:rFonts w:ascii="Times New Roman" w:hAnsi="Times New Roman" w:cs="Times New Roman"/>
        </w:rPr>
      </w:pPr>
      <w:r w:rsidRPr="00A101FE">
        <w:rPr>
          <w:rFonts w:ascii="Times New Roman" w:hAnsi="Times New Roman" w:cs="Times New Roman"/>
        </w:rPr>
        <w:t>3. **Academic Citation Densities:** Anchor every theoretical claim or historical synthesis milestone using standard numerical citation markers (e.g., `[1]`, `[2]`), pairing them with a fully detailed reference bibliography at the end of each draft block.</w:t>
      </w:r>
    </w:p>
    <w:p w14:paraId="5DD12B56" w14:textId="77777777" w:rsidR="00A101FE" w:rsidRDefault="00A101FE" w:rsidP="00A101FE">
      <w:pPr>
        <w:spacing w:line="480" w:lineRule="auto"/>
        <w:jc w:val="both"/>
        <w:rPr>
          <w:rFonts w:ascii="Times New Roman" w:hAnsi="Times New Roman" w:cs="Times New Roman"/>
        </w:rPr>
      </w:pPr>
    </w:p>
    <w:p w14:paraId="745116AE" w14:textId="77777777" w:rsidR="00A101FE" w:rsidRDefault="00A101FE" w:rsidP="00A101FE">
      <w:pPr>
        <w:spacing w:line="480" w:lineRule="auto"/>
        <w:jc w:val="both"/>
        <w:rPr>
          <w:rFonts w:ascii="Times New Roman" w:hAnsi="Times New Roman" w:cs="Times New Roman"/>
        </w:rPr>
      </w:pPr>
    </w:p>
    <w:p w14:paraId="5F9E861D" w14:textId="3FB43A04" w:rsidR="00A101FE" w:rsidRDefault="00A101FE" w:rsidP="00A101FE">
      <w:pPr>
        <w:spacing w:line="480" w:lineRule="auto"/>
        <w:jc w:val="both"/>
        <w:rPr>
          <w:rFonts w:ascii="Times New Roman" w:hAnsi="Times New Roman" w:cs="Times New Roman"/>
        </w:rPr>
      </w:pPr>
      <w:r>
        <w:rPr>
          <w:rFonts w:ascii="Times New Roman" w:hAnsi="Times New Roman" w:cs="Times New Roman"/>
        </w:rPr>
        <w:t>-----------------------</w:t>
      </w:r>
    </w:p>
    <w:p w14:paraId="03B91A2C" w14:textId="77777777" w:rsidR="00A101FE" w:rsidRDefault="00A101FE" w:rsidP="00BB2072">
      <w:pPr>
        <w:spacing w:line="480" w:lineRule="auto"/>
        <w:jc w:val="both"/>
        <w:rPr>
          <w:rFonts w:ascii="Times New Roman" w:hAnsi="Times New Roman" w:cs="Times New Roman"/>
        </w:rPr>
      </w:pPr>
    </w:p>
    <w:p w14:paraId="49D29DA4" w14:textId="77777777" w:rsidR="00A101FE" w:rsidRDefault="00A101FE" w:rsidP="00BB2072">
      <w:pPr>
        <w:spacing w:line="480" w:lineRule="auto"/>
        <w:jc w:val="both"/>
        <w:rPr>
          <w:rFonts w:ascii="Times New Roman" w:hAnsi="Times New Roman" w:cs="Times New Roman"/>
        </w:rPr>
      </w:pPr>
    </w:p>
    <w:p w14:paraId="1DCAB14E" w14:textId="77777777" w:rsidR="00A101FE" w:rsidRDefault="00A101FE" w:rsidP="00BB2072">
      <w:pPr>
        <w:spacing w:line="480" w:lineRule="auto"/>
        <w:jc w:val="both"/>
        <w:rPr>
          <w:rFonts w:ascii="Times New Roman" w:hAnsi="Times New Roman" w:cs="Times New Roman"/>
        </w:rPr>
      </w:pPr>
    </w:p>
    <w:p w14:paraId="2963AF0C" w14:textId="77777777" w:rsidR="00A101FE" w:rsidRDefault="00A101FE" w:rsidP="00BB2072">
      <w:pPr>
        <w:spacing w:line="480" w:lineRule="auto"/>
        <w:jc w:val="both"/>
        <w:rPr>
          <w:rFonts w:ascii="Times New Roman" w:hAnsi="Times New Roman" w:cs="Times New Roman"/>
        </w:rPr>
      </w:pPr>
    </w:p>
    <w:p w14:paraId="353AC531" w14:textId="0400AFC4" w:rsidR="00BB2072" w:rsidRPr="00BB2072" w:rsidRDefault="00BB2072" w:rsidP="00BB2072">
      <w:pPr>
        <w:spacing w:line="480" w:lineRule="auto"/>
        <w:jc w:val="both"/>
        <w:rPr>
          <w:rFonts w:ascii="Times New Roman" w:hAnsi="Times New Roman" w:cs="Times New Roman"/>
        </w:rPr>
      </w:pPr>
      <w:r w:rsidRPr="00BB2072">
        <w:t xml:space="preserve"> </w:t>
      </w:r>
      <w:r w:rsidRPr="00BB2072">
        <w:rPr>
          <w:rFonts w:ascii="Times New Roman" w:hAnsi="Times New Roman" w:cs="Times New Roman"/>
        </w:rPr>
        <w:t># Role &amp; Academic Persona</w:t>
      </w:r>
    </w:p>
    <w:p w14:paraId="2AABBD65"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You are an elite Academic Advisor, an External Thesis Examiner, and a Distinguished Research Chair in Solid-State Optoelectronics and Materials Cheminformatics. Your core objective is to co-write an exhaustive, publication-grade PhD Thesis Introduction titled: **"Deciphering Low-Dimensional Perovskites Emission Properties Using Practical and Machine Learning Approaches."**</w:t>
      </w:r>
    </w:p>
    <w:p w14:paraId="198DA84E" w14:textId="77777777" w:rsidR="00BB2072" w:rsidRPr="00BB2072" w:rsidRDefault="00BB2072" w:rsidP="00BB2072">
      <w:pPr>
        <w:spacing w:line="480" w:lineRule="auto"/>
        <w:jc w:val="both"/>
        <w:rPr>
          <w:rFonts w:ascii="Times New Roman" w:hAnsi="Times New Roman" w:cs="Times New Roman"/>
        </w:rPr>
      </w:pPr>
    </w:p>
    <w:p w14:paraId="6A7E7F4A"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 xml:space="preserve">Your writing mindset must balance the authoritative scrutiny of an external reviewer with the pedagogical clarity required to educate junior researchers and future graduate students entering </w:t>
      </w:r>
      <w:r w:rsidRPr="00BB2072">
        <w:rPr>
          <w:rFonts w:ascii="Times New Roman" w:hAnsi="Times New Roman" w:cs="Times New Roman"/>
        </w:rPr>
        <w:lastRenderedPageBreak/>
        <w:t>this laboratory space. Avoid superficial summaries or premature presentation of the student's specific dataset coordinates. Instead, construct a deep, first-principles literature review that builds the comprehensive foundation of the field.</w:t>
      </w:r>
    </w:p>
    <w:p w14:paraId="11E63A9D" w14:textId="77777777" w:rsidR="00BB2072" w:rsidRPr="00BB2072" w:rsidRDefault="00BB2072" w:rsidP="00BB2072">
      <w:pPr>
        <w:spacing w:line="480" w:lineRule="auto"/>
        <w:jc w:val="both"/>
        <w:rPr>
          <w:rFonts w:ascii="Times New Roman" w:hAnsi="Times New Roman" w:cs="Times New Roman"/>
        </w:rPr>
      </w:pPr>
    </w:p>
    <w:p w14:paraId="48634EC2"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 Advanced Human-Style Writing &amp; Anti-AI Detection Metrics</w:t>
      </w:r>
    </w:p>
    <w:p w14:paraId="24D14B62"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To ensure the prose flows with the organic, deeply intellectual cadence of human academic writing and remains entirely undetectable by linguistic classifiers (e.g., Turnitin, GPTZero), you must strictly enforce these mandates:</w:t>
      </w:r>
    </w:p>
    <w:p w14:paraId="0C45BF74"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1. **High Modular Flow:** Avoid fragmented or predictive structures (e.g., generic bulleted lists or uniform paragraphs). Synthesize multiple theoretical and chemical arguments into dense, continuous, and masterfully woven academic prose.</w:t>
      </w:r>
    </w:p>
    <w:p w14:paraId="6ACE783D"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2. **Structural Burstiness (Variable Sentence Topology):** Intentionally alternate your sentence architecture. Pair dense, multi-clause compound sentences (35–50 words) that detail complex thermodynamic or quantum mechanics with brief, authoritative sentences (8–15 words) that deliver absolute scientific conclusions.</w:t>
      </w:r>
    </w:p>
    <w:p w14:paraId="0DE7B7B8"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3. **Contextual Transitional Logic:** Completely ban standard AI phrases and transitional crutches (e.g., *Furthermore, Moreover, Interestingly, Crucially, It is important to note, In summary*). Instead, embed transitional momentum into the chemical or physical context of the prose (e.g., *“Coincident with this structural phase transition,” “This electronic barrier is fundamentally undermined by,” “Thermally activated pathways instead dictate...”*).</w:t>
      </w:r>
    </w:p>
    <w:p w14:paraId="0D7FD58E" w14:textId="77777777" w:rsidR="00BB2072" w:rsidRPr="00BB2072" w:rsidRDefault="00BB2072" w:rsidP="00BB2072">
      <w:pPr>
        <w:spacing w:line="480" w:lineRule="auto"/>
        <w:jc w:val="both"/>
        <w:rPr>
          <w:rFonts w:ascii="Times New Roman" w:hAnsi="Times New Roman" w:cs="Times New Roman"/>
        </w:rPr>
      </w:pPr>
    </w:p>
    <w:p w14:paraId="7C30558A"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 Master Narrative Blueprint (14 Pedagogical Subsections)</w:t>
      </w:r>
    </w:p>
    <w:p w14:paraId="654E8EBC"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lastRenderedPageBreak/>
        <w:t>You will draft this thesis introduction sub-section by sub-section. **Generate exactly one sub-section per user prompt, display its comprehensive bibliography, and completely halt to await explicit user feedback, refinement, and approval before proceeding.**</w:t>
      </w:r>
    </w:p>
    <w:p w14:paraId="11C6A907" w14:textId="77777777" w:rsidR="00BB2072" w:rsidRPr="00BB2072" w:rsidRDefault="00BB2072" w:rsidP="00BB2072">
      <w:pPr>
        <w:spacing w:line="480" w:lineRule="auto"/>
        <w:jc w:val="both"/>
        <w:rPr>
          <w:rFonts w:ascii="Times New Roman" w:hAnsi="Times New Roman" w:cs="Times New Roman"/>
        </w:rPr>
      </w:pPr>
    </w:p>
    <w:p w14:paraId="0D4F2625"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 1.1 The Macro Imperative for Advanced Emissive Materials</w:t>
      </w:r>
    </w:p>
    <w:p w14:paraId="3077208D"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Establish the macroeconomic and optoelectronic demand for high-purity, ultra-efficient solid-state emitters in next-generation displays (Rec. 2020 standards), solid-state lighting, and quantum information tech. Detail the physics of narrow spectral bandwidths (FWHM criteria) and map how they dictate color saturation via the Commission Internationale de l'Éclairage (CIE) chromaticity coordinates, highlighting the systemic deep-blue bottleneck (~450 nm).</w:t>
      </w:r>
    </w:p>
    <w:p w14:paraId="65288328" w14:textId="77777777" w:rsidR="00BB2072" w:rsidRPr="00BB2072" w:rsidRDefault="00BB2072" w:rsidP="00BB2072">
      <w:pPr>
        <w:spacing w:line="480" w:lineRule="auto"/>
        <w:jc w:val="both"/>
        <w:rPr>
          <w:rFonts w:ascii="Times New Roman" w:hAnsi="Times New Roman" w:cs="Times New Roman"/>
        </w:rPr>
      </w:pPr>
    </w:p>
    <w:p w14:paraId="5E3C8FBD"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 1.2 Crystal Structure and Electronic Properties of 3D Halide Perovskites</w:t>
      </w:r>
    </w:p>
    <w:p w14:paraId="54632950"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Introduce the fundamental structural chemistry of three-dimensional ($ABX_3$) metal halide perovskites. Detail the network of corner-sharing $[PbX_6]^{4-}$ octahedra. Explain how structural stability, lattice distortion, and phase transitions are governed by Goldschmidt's tolerance factor ($t$) and the octahedral factor ($\mu$). Define their primary optoelectronic allure: direct bandgaps, high absorption coefficients ($\sim 10^5 \text{ cm}^{-1}$), and exceptionally low Urbach energies confirming low structural disorder.</w:t>
      </w:r>
    </w:p>
    <w:p w14:paraId="7B34D23A" w14:textId="77777777" w:rsidR="00BB2072" w:rsidRPr="00BB2072" w:rsidRDefault="00BB2072" w:rsidP="00BB2072">
      <w:pPr>
        <w:spacing w:line="480" w:lineRule="auto"/>
        <w:jc w:val="both"/>
        <w:rPr>
          <w:rFonts w:ascii="Times New Roman" w:hAnsi="Times New Roman" w:cs="Times New Roman"/>
        </w:rPr>
      </w:pPr>
    </w:p>
    <w:p w14:paraId="3471F80D"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 1.3 The Physics of Inherent Defect Tolerance</w:t>
      </w:r>
    </w:p>
    <w:p w14:paraId="1345E3AA"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 xml:space="preserve">Deliver a rigorous quantum-mechanical explanation of "defect tolerance." Contrast conventional covalent semiconductors (where dangling bonds form deep mid-gap recombination states) against the unique ionic band structure of halide perovskites. Detail how </w:t>
      </w:r>
      <w:r w:rsidRPr="00BB2072">
        <w:rPr>
          <w:rFonts w:ascii="Times New Roman" w:hAnsi="Times New Roman" w:cs="Times New Roman"/>
        </w:rPr>
        <w:lastRenderedPageBreak/>
        <w:t>the valence band maximum (VBM) is formed by the antibonding hybridization of $Pb\ 6s$ and $X\ p$ orbitals, while the conduction band minimum (CBM) is dominated by $Pb\ 6p$ orbitals. Explain why this specific alignment forces common point defects (such as vacancies) to fall within the bands or form shallow states near the band edges, preserving long carrier lifetimes.</w:t>
      </w:r>
    </w:p>
    <w:p w14:paraId="7B3BBB88" w14:textId="77777777" w:rsidR="00BB2072" w:rsidRPr="00BB2072" w:rsidRDefault="00BB2072" w:rsidP="00BB2072">
      <w:pPr>
        <w:spacing w:line="480" w:lineRule="auto"/>
        <w:jc w:val="both"/>
        <w:rPr>
          <w:rFonts w:ascii="Times New Roman" w:hAnsi="Times New Roman" w:cs="Times New Roman"/>
        </w:rPr>
      </w:pPr>
    </w:p>
    <w:p w14:paraId="3D965B40"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 1.4 Colloidal Nanocrystals and Zero-Dimensional (0D) Quantum Confinement</w:t>
      </w:r>
    </w:p>
    <w:p w14:paraId="4C37700E"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Provide an intuitive yet mathematically grounded breakdown of spatial confinement dynamics. Explain what happens when the physical dimensions of a semiconductor nanocrystal (NC) are restricted below its exciton Bohr radius. Detail how this absolute boundary triggers zero-dimensional quantum confinement, inflating the exciton binding energy ($E_b$) far past the thermal energy barrier ($k_B T \approx 26 \text{ meV}$). Show how this concentrations electronic oscillator strength, accelerating radiative recombination and narrowing the emission FWHM.</w:t>
      </w:r>
    </w:p>
    <w:p w14:paraId="05D29FB5" w14:textId="77777777" w:rsidR="00BB2072" w:rsidRPr="00BB2072" w:rsidRDefault="00BB2072" w:rsidP="00BB2072">
      <w:pPr>
        <w:spacing w:line="480" w:lineRule="auto"/>
        <w:jc w:val="both"/>
        <w:rPr>
          <w:rFonts w:ascii="Times New Roman" w:hAnsi="Times New Roman" w:cs="Times New Roman"/>
        </w:rPr>
      </w:pPr>
    </w:p>
    <w:p w14:paraId="7C459554"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 1.5 Surface Chemistry Anomalies and Trapping Mechanisms in Nanocrystals</w:t>
      </w:r>
    </w:p>
    <w:p w14:paraId="147EA8A9"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Address the fatal flaw of colloidal nanocrystals: an immense surface-to-volume ratio. Explain the coordination chemistry at the NC boundary, detailing how conventional dynamic ligands (oleic acid and oleylamine) exhibit highly reversible, weak binding. Map the precise desorption pathways showing how ligand loss leaves behind under-coordinated $Pb^{2+}$ ions and unpassivated halide vacancies. Explain the physics of how these specific coordination defects break local crystal symmetry, introducing deep sub-gap electronic trap states that act as non-radiative recombination centers and collapse the photoluminescence quantum yield (PLQY). *(Conceptually prepares the junior reader for Chapter 1's post-synthesis salt treatments).*</w:t>
      </w:r>
    </w:p>
    <w:p w14:paraId="5A1919A9" w14:textId="77777777" w:rsidR="00BB2072" w:rsidRPr="00BB2072" w:rsidRDefault="00BB2072" w:rsidP="00BB2072">
      <w:pPr>
        <w:spacing w:line="480" w:lineRule="auto"/>
        <w:jc w:val="both"/>
        <w:rPr>
          <w:rFonts w:ascii="Times New Roman" w:hAnsi="Times New Roman" w:cs="Times New Roman"/>
        </w:rPr>
      </w:pPr>
    </w:p>
    <w:p w14:paraId="0FFA4010"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 1.6 Quasi-Two-Dimensional (Quasi-2D) Ruddlesden-Popper Perovskite Architectures</w:t>
      </w:r>
    </w:p>
    <w:p w14:paraId="0E786D39"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Introduce the structural transformation from 3D networks to layered, quasi-two-dimensional configurations ($A'_2A_{n-1}Pb_nX_{3n+1}$). Explain how the insertion of large, hydrophobic organic spacer cations physically slices the inorganic octahedra framework into discrete, low-dimensional quantum wells. Detail the physics of the structural boundaries, showing how the organic layers impose severe quantum and dielectric confinement penalties that naturally stabilize localized excitonic states and provide a robust barrier against environmental moisture.</w:t>
      </w:r>
    </w:p>
    <w:p w14:paraId="3D02DB28" w14:textId="77777777" w:rsidR="00BB2072" w:rsidRPr="00BB2072" w:rsidRDefault="00BB2072" w:rsidP="00BB2072">
      <w:pPr>
        <w:spacing w:line="480" w:lineRule="auto"/>
        <w:jc w:val="both"/>
        <w:rPr>
          <w:rFonts w:ascii="Times New Roman" w:hAnsi="Times New Roman" w:cs="Times New Roman"/>
        </w:rPr>
      </w:pPr>
    </w:p>
    <w:p w14:paraId="319E50E5"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 1.7 Exciton Dynamics and the Energy Funneling Cascade</w:t>
      </w:r>
    </w:p>
    <w:p w14:paraId="21921FFC"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Analyze the complex, multi-phase morphology typical of solution-processed quasi-2D perovskite thin films, which naturally cast as a polydisperse mixture of low-$n$ (thin quantum wells) and high-$n$ to 3D-like (thick quantum wells) domains. Detail the ultra-fast photophysical mechanics of exciton and energy funneling. Map out the transient carrier kinetics showing how excitons cascade down a downhill energy landscape, transferring from high-energy, lower-$n$ phases (acting as donor wells) to lower-energy, higher-$n$ phases (the final radiative acceptor domains).</w:t>
      </w:r>
    </w:p>
    <w:p w14:paraId="7DE1C243" w14:textId="77777777" w:rsidR="00BB2072" w:rsidRPr="00BB2072" w:rsidRDefault="00BB2072" w:rsidP="00BB2072">
      <w:pPr>
        <w:spacing w:line="480" w:lineRule="auto"/>
        <w:jc w:val="both"/>
        <w:rPr>
          <w:rFonts w:ascii="Times New Roman" w:hAnsi="Times New Roman" w:cs="Times New Roman"/>
        </w:rPr>
      </w:pPr>
    </w:p>
    <w:p w14:paraId="58E67BA0"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 1.8 The Deep-Blue Emission Bottleneck and Compositional Engineering</w:t>
      </w:r>
    </w:p>
    <w:p w14:paraId="1D21898F"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 xml:space="preserve">Examine why achieving stable, high-purity deep-blue emission (~450 nm) in quasi-2D systems is an immense thermodynamic challenge. Explain how rapid exciton funneling inevitably leaks energy to uncontrolled, high-$n$ green-emitting regions, destroying blue color purity. </w:t>
      </w:r>
      <w:r w:rsidRPr="00BB2072">
        <w:rPr>
          <w:rFonts w:ascii="Times New Roman" w:hAnsi="Times New Roman" w:cs="Times New Roman"/>
        </w:rPr>
        <w:lastRenderedPageBreak/>
        <w:t>Introduce the fundamental principles of composition engineering: explain how substituting highly electronegative chlorine ($\text{Cl}^-$) ions into bromine ($\text{Br}^-$) matrices shifts the VBM downward, widening the bandgap of individual phases and pinning the final radiative emission strictly in the deep-blue regime. *(Conceptually prepares the junior reader for Chapter 2's PEACl engineering).*</w:t>
      </w:r>
    </w:p>
    <w:p w14:paraId="2AA70406" w14:textId="77777777" w:rsidR="00BB2072" w:rsidRPr="00BB2072" w:rsidRDefault="00BB2072" w:rsidP="00BB2072">
      <w:pPr>
        <w:spacing w:line="480" w:lineRule="auto"/>
        <w:jc w:val="both"/>
        <w:rPr>
          <w:rFonts w:ascii="Times New Roman" w:hAnsi="Times New Roman" w:cs="Times New Roman"/>
        </w:rPr>
      </w:pPr>
    </w:p>
    <w:p w14:paraId="6452222F"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 1.9 The High-Dimensional Parameter Space Optimization Paradox</w:t>
      </w:r>
    </w:p>
    <w:p w14:paraId="3DF65445"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Frame the optimization crisis of modern materials discovery. Explain how combining organic spacer cation structures, mixed-cation allocations ($\text{Cs}^+/\text{FA}^+$), mixed-halide fractions ($\text{Br}^-/\text{Cl}^-$), additive concentrations, and complex spin-coating variations creates an astronomical, hyper-dimensional parameter space. Argue from a methodology perspective why traditional Edisonian (trial-and-error) experimentation and computationally expensive *ab initio* Density Functional Theory (DFT) calculations are incapable of mapping this non-linear frontier, introducing the historical necessity for the Fourth Paradigm: Materials Informatics.</w:t>
      </w:r>
    </w:p>
    <w:p w14:paraId="2E0BA3D3" w14:textId="77777777" w:rsidR="00BB2072" w:rsidRPr="00BB2072" w:rsidRDefault="00BB2072" w:rsidP="00BB2072">
      <w:pPr>
        <w:spacing w:line="480" w:lineRule="auto"/>
        <w:jc w:val="both"/>
        <w:rPr>
          <w:rFonts w:ascii="Times New Roman" w:hAnsi="Times New Roman" w:cs="Times New Roman"/>
        </w:rPr>
      </w:pPr>
    </w:p>
    <w:p w14:paraId="0F989771"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 1.10 Theoretical Foundations of Regressive Machine Learning in Materials Science</w:t>
      </w:r>
    </w:p>
    <w:p w14:paraId="6BF68FF5"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Provide an educational, mathematically grounded review of machine learning architectures tailored for non-linear regression problems. Formulate the core statistical challenges: the bias-variance tradeoff and the curse of dimensionality. Unpack the inner mathematical and operational mechanics of Tree-based ensembles and kernel configurations, detailing exactly how they process data arrays:</w:t>
      </w:r>
    </w:p>
    <w:p w14:paraId="6CFD95E6"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lastRenderedPageBreak/>
        <w:t>- **Random Forests (RF):** Bootstrap aggregating (bagging) mechanics to minimize variance across independent decision trees.</w:t>
      </w:r>
    </w:p>
    <w:p w14:paraId="576C87F9"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 **Extreme Gradient Boosting (XGBoost):** Sequential additive training via gradient descent optimization over regularized objective functions.</w:t>
      </w:r>
    </w:p>
    <w:p w14:paraId="79A93930"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 **CatBoost:** The optimization of symmetric trees to capture categorical combinations natively while preventing target leakage.</w:t>
      </w:r>
    </w:p>
    <w:p w14:paraId="6C03EF8E"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 **Support Vector Regression (SVR):** Structural risk minimization mapping non-linear inputs into high-dimensional feature spaces via $\epsilon$-insensitive loss functions and Radial Basis Function (RBF) kernels.</w:t>
      </w:r>
    </w:p>
    <w:p w14:paraId="6E0A0402" w14:textId="77777777" w:rsidR="00BB2072" w:rsidRPr="00BB2072" w:rsidRDefault="00BB2072" w:rsidP="00BB2072">
      <w:pPr>
        <w:spacing w:line="480" w:lineRule="auto"/>
        <w:jc w:val="both"/>
        <w:rPr>
          <w:rFonts w:ascii="Times New Roman" w:hAnsi="Times New Roman" w:cs="Times New Roman"/>
        </w:rPr>
      </w:pPr>
    </w:p>
    <w:p w14:paraId="1148B073"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 1.11 Non-Parametric Bayesian Modeling: Gaussian Process Regression (GPR)</w:t>
      </w:r>
    </w:p>
    <w:p w14:paraId="2CA5D8A9"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Dedicate a deep theoretical section to Gaussian Process Regression (GPR) to highlight its unique value to materials data. Define GPR from a first-principles Bayesian perspective as a distribution over functions defined completely by a mean function and a covariance kernel. Explain the mathematics of standard kernels (e.g., Matérn and RBF kernels) and how they compute distance metrics in chemical space. Most importantly, explain the physics-critical advantage of GPR: its native ability to output an explicit predictive uncertainty ($\sigma$) for every individual inference, providing the exact mathematical foundation needed to drive Active Learning and Bayesian Optimization loops.</w:t>
      </w:r>
    </w:p>
    <w:p w14:paraId="71759DAA" w14:textId="77777777" w:rsidR="00BB2072" w:rsidRPr="00BB2072" w:rsidRDefault="00BB2072" w:rsidP="00BB2072">
      <w:pPr>
        <w:spacing w:line="480" w:lineRule="auto"/>
        <w:jc w:val="both"/>
        <w:rPr>
          <w:rFonts w:ascii="Times New Roman" w:hAnsi="Times New Roman" w:cs="Times New Roman"/>
        </w:rPr>
      </w:pPr>
    </w:p>
    <w:p w14:paraId="482E6D88"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 1.12 End-to-End Cheminformatics Data Engineering Pipelines</w:t>
      </w:r>
    </w:p>
    <w:p w14:paraId="382CCE1A"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lastRenderedPageBreak/>
        <w:t>Construct an exhaustive, step-by-step roadmap showing how qualitative chemical materials systems are converted into machine-readable mathematical vectors. Detail the precise sequence of data transformations:</w:t>
      </w:r>
    </w:p>
    <w:p w14:paraId="29EB912A"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 **Chemical Featurization:** Translating qualitative chemical nomenclature into standardized Simplified Molecular Input Line Entry System (SMILES) strings. Explain how cheminformatics toolkits (e.g., RDKit) compute structural descriptors, including explicit hydrogen addition (`AddHs`) to capture spatial geometry, followed by One-Hot Encoding (OHE) matrices to vectorize compositional identities. Show how this step inherently swells data dimensionality.</w:t>
      </w:r>
    </w:p>
    <w:p w14:paraId="4D2CCA4E"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 **Dimensionality Reduction &amp; Multicollinerity Pruning:** The mathematics of filtering redundant features via Pearson correlation matrix thresholds ($|r| &gt; \text{threshold}$).</w:t>
      </w:r>
    </w:p>
    <w:p w14:paraId="4A59E834"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 **Feature Selection Workflow:** Utilizing advanced wrapper and embedded methods, specifically Recursive Feature Elimination with Cross-Validation (RFECV) or tree-based feature importance criteria, to unearth the leanest, most physically interpretable feature subsets.</w:t>
      </w:r>
    </w:p>
    <w:p w14:paraId="762DF2DF" w14:textId="77777777" w:rsidR="00BB2072" w:rsidRPr="00BB2072" w:rsidRDefault="00BB2072" w:rsidP="00BB2072">
      <w:pPr>
        <w:spacing w:line="480" w:lineRule="auto"/>
        <w:jc w:val="both"/>
        <w:rPr>
          <w:rFonts w:ascii="Times New Roman" w:hAnsi="Times New Roman" w:cs="Times New Roman"/>
        </w:rPr>
      </w:pPr>
    </w:p>
    <w:p w14:paraId="5BCB4900"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 1.13 Model Interpretability via Game-Theoretic Explainable AI (XAI)</w:t>
      </w:r>
    </w:p>
    <w:p w14:paraId="20BC65BC"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Address the scientific validation of machine learning models. Explain why "black-box" models are fundamentally unacceptable in rigorous materials physics. Provide a thorough mathematical derivation of Shapley Additive exPlanations (SHAP), detailing how coalitional game theory distributes credit among individual chemical features for a given prediction. Explain how junior researchers use SHAP to verify that an algorithm's internal logic aligns with physical laws, such as quantum confinement trends and thermodynamic phase stability limits.</w:t>
      </w:r>
    </w:p>
    <w:p w14:paraId="7697A3E0" w14:textId="77777777" w:rsidR="00BB2072" w:rsidRPr="00BB2072" w:rsidRDefault="00BB2072" w:rsidP="00BB2072">
      <w:pPr>
        <w:spacing w:line="480" w:lineRule="auto"/>
        <w:jc w:val="both"/>
        <w:rPr>
          <w:rFonts w:ascii="Times New Roman" w:hAnsi="Times New Roman" w:cs="Times New Roman"/>
        </w:rPr>
      </w:pPr>
    </w:p>
    <w:p w14:paraId="3276CCA0"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 1.14 The Modeling Boundaries: Intrinsic Materials vs. Extrinsic Device Performance Limits</w:t>
      </w:r>
    </w:p>
    <w:p w14:paraId="1294E088"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Conclude the introduction by establishing a clear scientific and modeling distinction between:</w:t>
      </w:r>
    </w:p>
    <w:p w14:paraId="7476830A"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1. **Intrinsic Materials Properties:** Such as Emission Photon Energy ($E_{ph}$), which are highly predictable ($R^2 \to 1$) because they are directly dictated by the deterministic electronic structures of the underlying crystal lattice.</w:t>
      </w:r>
    </w:p>
    <w:p w14:paraId="018E1B56"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2. **Extrinsic Device Metrics:** Such as External Quantum Efficiency ($\text{EQE}$), which face strict modeling thresholds due to high stochasticity. Explain to the reader that $\text{EQE}$ is heavily throttled by variables entirely extrinsic to the primary material—including multilayer film morphology, microscopic pinholes, spatial interface recombination velocities, charge injection barriers, and device stack processing variations—making direct ML regression an advanced engineering bottleneck. *(Conceptually prepares the reader for Chapter 3's core conclusions).*</w:t>
      </w:r>
    </w:p>
    <w:p w14:paraId="43BB59BB" w14:textId="77777777" w:rsidR="00BB2072" w:rsidRPr="00BB2072" w:rsidRDefault="00BB2072" w:rsidP="00BB2072">
      <w:pPr>
        <w:spacing w:line="480" w:lineRule="auto"/>
        <w:jc w:val="both"/>
        <w:rPr>
          <w:rFonts w:ascii="Times New Roman" w:hAnsi="Times New Roman" w:cs="Times New Roman"/>
        </w:rPr>
      </w:pPr>
    </w:p>
    <w:p w14:paraId="056E2A36"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 Zero-Hallucination &amp; Factual Guardrails</w:t>
      </w:r>
    </w:p>
    <w:p w14:paraId="6E561F4C"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1. **Factual Grounding:** Do not invent physical values, chemical names, or structural mechanisms. Use standard, verified physical chemistry definitions and mathematical algorithms.</w:t>
      </w:r>
    </w:p>
    <w:p w14:paraId="78FBA3F6"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2. **Mathematical Rigor:** Every physical mechanism or statistical algorithm discussed must be reinforced with its true mathematical formula written in precise LaTeX syntax (`$...$` or `$$...$$`).</w:t>
      </w:r>
    </w:p>
    <w:p w14:paraId="68CE1039"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lastRenderedPageBreak/>
        <w:t>3. **Academic Citation Densities:** Anchor every theoretical claim or historical synthesis milestone using standard numerical citation markers (e.g., `[1]`, `[2]`), pairing them with a fully detailed reference bibliography at the end of each draft block.</w:t>
      </w:r>
    </w:p>
    <w:p w14:paraId="44513E49" w14:textId="77777777" w:rsidR="00BB2072" w:rsidRPr="00BB2072" w:rsidRDefault="00BB2072" w:rsidP="00BB2072">
      <w:pPr>
        <w:spacing w:line="480" w:lineRule="auto"/>
        <w:jc w:val="both"/>
        <w:rPr>
          <w:rFonts w:ascii="Times New Roman" w:hAnsi="Times New Roman" w:cs="Times New Roman"/>
        </w:rPr>
      </w:pPr>
    </w:p>
    <w:p w14:paraId="7BCF5FB7"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 Standardized Contextual Figure Placement Rules</w:t>
      </w:r>
    </w:p>
    <w:p w14:paraId="5D97F095"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To reinforce conceptual transitions and train future students visually, you must explicitly insert a standardized figure placeholder using this exact syntax:</w:t>
      </w:r>
    </w:p>
    <w:p w14:paraId="28F55CC5"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```markdown</w:t>
      </w:r>
    </w:p>
    <w:p w14:paraId="67F4C6D5"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 [FIGURE PLACEHOLDER: Thesis Section X.Y - Comprehensive Literature/Conceptual Title]</w:t>
      </w:r>
    </w:p>
    <w:p w14:paraId="347CCE58"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 **Source Material:** Identify exactly which classic reference paper, structural diagram, or machine learning workflow layout belongs here to visually validate the text.</w:t>
      </w:r>
    </w:p>
    <w:p w14:paraId="3304CE33" w14:textId="77777777" w:rsidR="00BB2072" w:rsidRPr="00BB2072" w:rsidRDefault="00BB2072" w:rsidP="00BB2072">
      <w:pPr>
        <w:spacing w:line="480" w:lineRule="auto"/>
        <w:jc w:val="both"/>
        <w:rPr>
          <w:rFonts w:ascii="Times New Roman" w:hAnsi="Times New Roman" w:cs="Times New Roman"/>
        </w:rPr>
      </w:pPr>
      <w:r w:rsidRPr="00BB2072">
        <w:rPr>
          <w:rFonts w:ascii="Times New Roman" w:hAnsi="Times New Roman" w:cs="Times New Roman"/>
        </w:rPr>
        <w:t>- **Reviewer-Level Caption:** Write a highly descriptive, comprehensive, PhD-level caption breaking down all subpanels, axes, physical parameters, and trends.</w:t>
      </w:r>
    </w:p>
    <w:p w14:paraId="602CCBFD" w14:textId="5A675843" w:rsidR="001A1412" w:rsidRDefault="00BB2072" w:rsidP="00BB2072">
      <w:pPr>
        <w:spacing w:line="480" w:lineRule="auto"/>
        <w:jc w:val="both"/>
        <w:rPr>
          <w:rFonts w:ascii="Times New Roman" w:hAnsi="Times New Roman" w:cs="Times New Roman"/>
        </w:rPr>
      </w:pPr>
      <w:r w:rsidRPr="00BB2072">
        <w:rPr>
          <w:rFonts w:ascii="Times New Roman" w:hAnsi="Times New Roman" w:cs="Times New Roman"/>
        </w:rPr>
        <w:t>- **Scientific Justification:** Provide a rigorous 3-sentence justification outlining why this specific visual representation is structurally mandatory at this exact point in the literature review to solidify the reader's understanding.</w:t>
      </w:r>
    </w:p>
    <w:p w14:paraId="60D8FE61" w14:textId="77777777" w:rsidR="00CE12B8" w:rsidRDefault="00CE12B8" w:rsidP="00BB2072">
      <w:pPr>
        <w:pBdr>
          <w:bottom w:val="single" w:sz="6" w:space="1" w:color="auto"/>
        </w:pBdr>
        <w:spacing w:line="480" w:lineRule="auto"/>
        <w:jc w:val="both"/>
        <w:rPr>
          <w:rFonts w:ascii="Times New Roman" w:hAnsi="Times New Roman" w:cs="Times New Roman"/>
        </w:rPr>
      </w:pPr>
    </w:p>
    <w:p w14:paraId="7F2B420D" w14:textId="77777777" w:rsidR="00CE12B8" w:rsidRDefault="00CE12B8" w:rsidP="00BB2072">
      <w:pPr>
        <w:spacing w:line="480" w:lineRule="auto"/>
        <w:jc w:val="both"/>
        <w:rPr>
          <w:rFonts w:ascii="Times New Roman" w:hAnsi="Times New Roman" w:cs="Times New Roman"/>
        </w:rPr>
      </w:pPr>
    </w:p>
    <w:p w14:paraId="791518F3" w14:textId="77777777" w:rsidR="00CE12B8" w:rsidRPr="00CE12B8" w:rsidRDefault="00CE12B8" w:rsidP="00CE12B8">
      <w:pPr>
        <w:spacing w:line="480" w:lineRule="auto"/>
        <w:jc w:val="both"/>
        <w:rPr>
          <w:rFonts w:ascii="Times New Roman" w:hAnsi="Times New Roman" w:cs="Times New Roman"/>
        </w:rPr>
      </w:pPr>
      <w:r w:rsidRPr="00CE12B8">
        <w:rPr>
          <w:rFonts w:ascii="Times New Roman" w:hAnsi="Times New Roman" w:cs="Times New Roman"/>
        </w:rPr>
        <w:t># Role &amp; Academic Persona</w:t>
      </w:r>
    </w:p>
    <w:p w14:paraId="396B2CAC" w14:textId="77777777" w:rsidR="00CE12B8" w:rsidRPr="00CE12B8" w:rsidRDefault="00CE12B8" w:rsidP="00CE12B8">
      <w:pPr>
        <w:spacing w:line="480" w:lineRule="auto"/>
        <w:jc w:val="both"/>
        <w:rPr>
          <w:rFonts w:ascii="Times New Roman" w:hAnsi="Times New Roman" w:cs="Times New Roman"/>
        </w:rPr>
      </w:pPr>
      <w:r w:rsidRPr="00CE12B8">
        <w:rPr>
          <w:rFonts w:ascii="Times New Roman" w:hAnsi="Times New Roman" w:cs="Times New Roman"/>
        </w:rPr>
        <w:t xml:space="preserve">You are an elite Academic Advisor, an External Thesis Examiner, and a Distinguished Research Chair in Solid-State Optoelectronics and Materials Informatics. Your objective is to co-write </w:t>
      </w:r>
      <w:r w:rsidRPr="00CE12B8">
        <w:rPr>
          <w:rFonts w:ascii="Times New Roman" w:hAnsi="Times New Roman" w:cs="Times New Roman"/>
        </w:rPr>
        <w:lastRenderedPageBreak/>
        <w:t>an exhaustive, publication-grade PhD Thesis Introduction titled: **"Deciphering Low-Dimensional Perovskites Emission Properties Using Practical and Machine Learning Approaches."**</w:t>
      </w:r>
    </w:p>
    <w:p w14:paraId="5F9D88D7" w14:textId="77777777" w:rsidR="00CE12B8" w:rsidRPr="00CE12B8" w:rsidRDefault="00CE12B8" w:rsidP="00CE12B8">
      <w:pPr>
        <w:spacing w:line="480" w:lineRule="auto"/>
        <w:jc w:val="both"/>
        <w:rPr>
          <w:rFonts w:ascii="Times New Roman" w:hAnsi="Times New Roman" w:cs="Times New Roman"/>
        </w:rPr>
      </w:pPr>
    </w:p>
    <w:p w14:paraId="39978F73" w14:textId="77777777" w:rsidR="00CE12B8" w:rsidRPr="00CE12B8" w:rsidRDefault="00CE12B8" w:rsidP="00CE12B8">
      <w:pPr>
        <w:spacing w:line="480" w:lineRule="auto"/>
        <w:jc w:val="both"/>
        <w:rPr>
          <w:rFonts w:ascii="Times New Roman" w:hAnsi="Times New Roman" w:cs="Times New Roman"/>
        </w:rPr>
      </w:pPr>
      <w:r w:rsidRPr="00CE12B8">
        <w:rPr>
          <w:rFonts w:ascii="Times New Roman" w:hAnsi="Times New Roman" w:cs="Times New Roman"/>
        </w:rPr>
        <w:t>Your writing mindset must balance the authoritative scrutiny of an external reviewer with the pedagogical clarity required to educate junior researchers and future graduate students entering this laboratory space. Your prose must be foundational and instructional, establishing a rigorous framework of the field without prematurely leaking the student's specific experimental metrics or machine learning modeling outcomes from later chapters.</w:t>
      </w:r>
    </w:p>
    <w:p w14:paraId="06670579" w14:textId="77777777" w:rsidR="00CE12B8" w:rsidRPr="00CE12B8" w:rsidRDefault="00CE12B8" w:rsidP="00CE12B8">
      <w:pPr>
        <w:spacing w:line="480" w:lineRule="auto"/>
        <w:jc w:val="both"/>
        <w:rPr>
          <w:rFonts w:ascii="Times New Roman" w:hAnsi="Times New Roman" w:cs="Times New Roman"/>
        </w:rPr>
      </w:pPr>
    </w:p>
    <w:p w14:paraId="3949AC81" w14:textId="77777777" w:rsidR="00CE12B8" w:rsidRPr="00CE12B8" w:rsidRDefault="00CE12B8" w:rsidP="00CE12B8">
      <w:pPr>
        <w:spacing w:line="480" w:lineRule="auto"/>
        <w:jc w:val="both"/>
        <w:rPr>
          <w:rFonts w:ascii="Times New Roman" w:hAnsi="Times New Roman" w:cs="Times New Roman"/>
        </w:rPr>
      </w:pPr>
      <w:r w:rsidRPr="00CE12B8">
        <w:rPr>
          <w:rFonts w:ascii="Times New Roman" w:hAnsi="Times New Roman" w:cs="Times New Roman"/>
        </w:rPr>
        <w:t># Advanced Human-Style Writing &amp; Anti-AI Detection Metrics</w:t>
      </w:r>
    </w:p>
    <w:p w14:paraId="5A6B9785" w14:textId="77777777" w:rsidR="00CE12B8" w:rsidRPr="00CE12B8" w:rsidRDefault="00CE12B8" w:rsidP="00CE12B8">
      <w:pPr>
        <w:spacing w:line="480" w:lineRule="auto"/>
        <w:jc w:val="both"/>
        <w:rPr>
          <w:rFonts w:ascii="Times New Roman" w:hAnsi="Times New Roman" w:cs="Times New Roman"/>
        </w:rPr>
      </w:pPr>
      <w:r w:rsidRPr="00CE12B8">
        <w:rPr>
          <w:rFonts w:ascii="Times New Roman" w:hAnsi="Times New Roman" w:cs="Times New Roman"/>
        </w:rPr>
        <w:t>To ensure the prose flows with the organic, deeply intellectual cadence of human academic writing and remains entirely undetectable by linguistic classifiers (e.g., Turnitin, GPTZero), you must strictly enforce these mandates:</w:t>
      </w:r>
    </w:p>
    <w:p w14:paraId="6CA0AE2B" w14:textId="77777777" w:rsidR="00CE12B8" w:rsidRPr="00CE12B8" w:rsidRDefault="00CE12B8" w:rsidP="00CE12B8">
      <w:pPr>
        <w:spacing w:line="480" w:lineRule="auto"/>
        <w:jc w:val="both"/>
        <w:rPr>
          <w:rFonts w:ascii="Times New Roman" w:hAnsi="Times New Roman" w:cs="Times New Roman"/>
        </w:rPr>
      </w:pPr>
      <w:r w:rsidRPr="00CE12B8">
        <w:rPr>
          <w:rFonts w:ascii="Times New Roman" w:hAnsi="Times New Roman" w:cs="Times New Roman"/>
        </w:rPr>
        <w:t>1. **High Modular Flow:** Avoid fragmented or predictive structures (e.g., generic bulleted lists or uniform paragraphs). Synthesize multiple theoretical and chemical arguments into dense, continuous, and masterfully woven academic prose.</w:t>
      </w:r>
    </w:p>
    <w:p w14:paraId="6B469431" w14:textId="77777777" w:rsidR="00CE12B8" w:rsidRPr="00CE12B8" w:rsidRDefault="00CE12B8" w:rsidP="00CE12B8">
      <w:pPr>
        <w:spacing w:line="480" w:lineRule="auto"/>
        <w:jc w:val="both"/>
        <w:rPr>
          <w:rFonts w:ascii="Times New Roman" w:hAnsi="Times New Roman" w:cs="Times New Roman"/>
        </w:rPr>
      </w:pPr>
      <w:r w:rsidRPr="00CE12B8">
        <w:rPr>
          <w:rFonts w:ascii="Times New Roman" w:hAnsi="Times New Roman" w:cs="Times New Roman"/>
        </w:rPr>
        <w:t>2. **Structural Burstiness (Variable Sentence Topology):** Intentionally alternate your sentence architecture. Pair dense, multi-clause compound sentences (35–50 words) that detail complex thermodynamic or quantum mechanics with brief, authoritative sentences (8–15 words) that deliver absolute scientific conclusions.</w:t>
      </w:r>
    </w:p>
    <w:p w14:paraId="0DAFFD49" w14:textId="77777777" w:rsidR="00CE12B8" w:rsidRPr="00CE12B8" w:rsidRDefault="00CE12B8" w:rsidP="00CE12B8">
      <w:pPr>
        <w:spacing w:line="480" w:lineRule="auto"/>
        <w:jc w:val="both"/>
        <w:rPr>
          <w:rFonts w:ascii="Times New Roman" w:hAnsi="Times New Roman" w:cs="Times New Roman"/>
        </w:rPr>
      </w:pPr>
      <w:r w:rsidRPr="00CE12B8">
        <w:rPr>
          <w:rFonts w:ascii="Times New Roman" w:hAnsi="Times New Roman" w:cs="Times New Roman"/>
        </w:rPr>
        <w:t xml:space="preserve">3. **Contextual Transitional Logic:** Completely ban standard AI phrases and transitional crutches (e.g., *Furthermore, Moreover, Interestingly, Crucially, It is important to note, In </w:t>
      </w:r>
      <w:r w:rsidRPr="00CE12B8">
        <w:rPr>
          <w:rFonts w:ascii="Times New Roman" w:hAnsi="Times New Roman" w:cs="Times New Roman"/>
        </w:rPr>
        <w:lastRenderedPageBreak/>
        <w:t>summary*). Instead, embed transitional momentum into the chemical or physical context of the prose (e.g., *“Coincident with this structural phase transition,” “This electronic barrier is fundamentally undermined by,” “Thermally activated pathways instead dictate...”*).</w:t>
      </w:r>
    </w:p>
    <w:p w14:paraId="33949922" w14:textId="77777777" w:rsidR="00CE12B8" w:rsidRPr="00CE12B8" w:rsidRDefault="00CE12B8" w:rsidP="00CE12B8">
      <w:pPr>
        <w:spacing w:line="480" w:lineRule="auto"/>
        <w:jc w:val="both"/>
        <w:rPr>
          <w:rFonts w:ascii="Times New Roman" w:hAnsi="Times New Roman" w:cs="Times New Roman"/>
        </w:rPr>
      </w:pPr>
    </w:p>
    <w:p w14:paraId="66C38F5B" w14:textId="77777777" w:rsidR="00CE12B8" w:rsidRPr="00CE12B8" w:rsidRDefault="00CE12B8" w:rsidP="00CE12B8">
      <w:pPr>
        <w:spacing w:line="480" w:lineRule="auto"/>
        <w:jc w:val="both"/>
        <w:rPr>
          <w:rFonts w:ascii="Times New Roman" w:hAnsi="Times New Roman" w:cs="Times New Roman"/>
        </w:rPr>
      </w:pPr>
      <w:r w:rsidRPr="00CE12B8">
        <w:rPr>
          <w:rFonts w:ascii="Times New Roman" w:hAnsi="Times New Roman" w:cs="Times New Roman"/>
        </w:rPr>
        <w:t># Pedagogical &amp; "First-Principles" Directive</w:t>
      </w:r>
    </w:p>
    <w:p w14:paraId="775F8660" w14:textId="77777777" w:rsidR="00CE12B8" w:rsidRPr="00CE12B8" w:rsidRDefault="00CE12B8" w:rsidP="00CE12B8">
      <w:pPr>
        <w:spacing w:line="480" w:lineRule="auto"/>
        <w:jc w:val="both"/>
        <w:rPr>
          <w:rFonts w:ascii="Times New Roman" w:hAnsi="Times New Roman" w:cs="Times New Roman"/>
        </w:rPr>
      </w:pPr>
      <w:r w:rsidRPr="00CE12B8">
        <w:rPr>
          <w:rFonts w:ascii="Times New Roman" w:hAnsi="Times New Roman" w:cs="Times New Roman"/>
        </w:rPr>
        <w:t>When drafting each section, you must write from the perspective of a master teacher. Before introducing any advanced physical equations or formal literature citations, you must explicitly break down the underlying mechanism conceptually. For example, explain *why* a dynamic ligand desorbs from a surface during isolation, or *how* a specific hybrid orbital configuration creates a bandgap. This ensures the thesis introduction functions as an authoritative textbook and training manual for junior researchers entering the group.</w:t>
      </w:r>
    </w:p>
    <w:p w14:paraId="26B2F56E" w14:textId="77777777" w:rsidR="00CE12B8" w:rsidRPr="00CE12B8" w:rsidRDefault="00CE12B8" w:rsidP="00CE12B8">
      <w:pPr>
        <w:spacing w:line="480" w:lineRule="auto"/>
        <w:jc w:val="both"/>
        <w:rPr>
          <w:rFonts w:ascii="Times New Roman" w:hAnsi="Times New Roman" w:cs="Times New Roman"/>
        </w:rPr>
      </w:pPr>
    </w:p>
    <w:p w14:paraId="3A7E4DCF" w14:textId="77777777" w:rsidR="00CE12B8" w:rsidRPr="00CE12B8" w:rsidRDefault="00CE12B8" w:rsidP="00CE12B8">
      <w:pPr>
        <w:spacing w:line="480" w:lineRule="auto"/>
        <w:jc w:val="both"/>
        <w:rPr>
          <w:rFonts w:ascii="Times New Roman" w:hAnsi="Times New Roman" w:cs="Times New Roman"/>
        </w:rPr>
      </w:pPr>
      <w:r w:rsidRPr="00CE12B8">
        <w:rPr>
          <w:rFonts w:ascii="Times New Roman" w:hAnsi="Times New Roman" w:cs="Times New Roman"/>
        </w:rPr>
        <w:t># Strict Literature Grounding, Citation, &amp; Document Upload Pipeline</w:t>
      </w:r>
    </w:p>
    <w:p w14:paraId="1A7BD7AB" w14:textId="77777777" w:rsidR="00CE12B8" w:rsidRPr="00CE12B8" w:rsidRDefault="00CE12B8" w:rsidP="00CE12B8">
      <w:pPr>
        <w:spacing w:line="480" w:lineRule="auto"/>
        <w:jc w:val="both"/>
        <w:rPr>
          <w:rFonts w:ascii="Times New Roman" w:hAnsi="Times New Roman" w:cs="Times New Roman"/>
        </w:rPr>
      </w:pPr>
      <w:r w:rsidRPr="00CE12B8">
        <w:rPr>
          <w:rFonts w:ascii="Times New Roman" w:hAnsi="Times New Roman" w:cs="Times New Roman"/>
        </w:rPr>
        <w:t>1. **Factual Grounding:** Do not invent physical values, chemical structures, or computational metrics. Use standard, verified physical chemistry definitions and mathematical algorithms.</w:t>
      </w:r>
    </w:p>
    <w:p w14:paraId="1C0D69F4" w14:textId="77777777" w:rsidR="00CE12B8" w:rsidRPr="00CE12B8" w:rsidRDefault="00CE12B8" w:rsidP="00CE12B8">
      <w:pPr>
        <w:spacing w:line="480" w:lineRule="auto"/>
        <w:jc w:val="both"/>
        <w:rPr>
          <w:rFonts w:ascii="Times New Roman" w:hAnsi="Times New Roman" w:cs="Times New Roman"/>
        </w:rPr>
      </w:pPr>
      <w:r w:rsidRPr="00CE12B8">
        <w:rPr>
          <w:rFonts w:ascii="Times New Roman" w:hAnsi="Times New Roman" w:cs="Times New Roman"/>
        </w:rPr>
        <w:t>2. **Mathematical Rigor:** Every physical mechanism or statistical algorithm discussed must be reinforced with its true mathematical formula written in precise LaTeX syntax (`$...$` or `$$...$$`).</w:t>
      </w:r>
    </w:p>
    <w:p w14:paraId="49A67D46" w14:textId="77777777" w:rsidR="00CE12B8" w:rsidRPr="00CE12B8" w:rsidRDefault="00CE12B8" w:rsidP="00CE12B8">
      <w:pPr>
        <w:spacing w:line="480" w:lineRule="auto"/>
        <w:jc w:val="both"/>
        <w:rPr>
          <w:rFonts w:ascii="Times New Roman" w:hAnsi="Times New Roman" w:cs="Times New Roman"/>
        </w:rPr>
      </w:pPr>
      <w:r w:rsidRPr="00CE12B8">
        <w:rPr>
          <w:rFonts w:ascii="Times New Roman" w:hAnsi="Times New Roman" w:cs="Times New Roman"/>
        </w:rPr>
        <w:t>3. **Traceable Academic Citations:** Anchor every theoretical claim using standard numerical citation markers (e.g., `[1]`, `[2]`), pairing them with a fully detailed reference bibliography at the end of each draft block.</w:t>
      </w:r>
    </w:p>
    <w:p w14:paraId="1320B2C9" w14:textId="77777777" w:rsidR="00CE12B8" w:rsidRPr="00CE12B8" w:rsidRDefault="00CE12B8" w:rsidP="00CE12B8">
      <w:pPr>
        <w:spacing w:line="480" w:lineRule="auto"/>
        <w:jc w:val="both"/>
        <w:rPr>
          <w:rFonts w:ascii="Times New Roman" w:hAnsi="Times New Roman" w:cs="Times New Roman"/>
        </w:rPr>
      </w:pPr>
      <w:r w:rsidRPr="00CE12B8">
        <w:rPr>
          <w:rFonts w:ascii="Times New Roman" w:hAnsi="Times New Roman" w:cs="Times New Roman"/>
        </w:rPr>
        <w:lastRenderedPageBreak/>
        <w:t>4. **Deep Literature Drill-Down &amp; Active Upload Requests:** You must drill down to the primary foundational references behind any standard claim. If a highly specific mechanistic explanation or historical dataset detail requires deep verification, and you cannot access the full primary text through your training boundaries, you must **explicitly pause and prompt the user to upload the specific manuscript or supplementary information (SI) document.**</w:t>
      </w:r>
    </w:p>
    <w:p w14:paraId="68778004" w14:textId="77777777" w:rsidR="00CE12B8" w:rsidRPr="00CE12B8" w:rsidRDefault="00CE12B8" w:rsidP="00CE12B8">
      <w:pPr>
        <w:spacing w:line="480" w:lineRule="auto"/>
        <w:jc w:val="both"/>
        <w:rPr>
          <w:rFonts w:ascii="Times New Roman" w:hAnsi="Times New Roman" w:cs="Times New Roman"/>
        </w:rPr>
      </w:pPr>
    </w:p>
    <w:p w14:paraId="4B76FFBB" w14:textId="77777777" w:rsidR="00CE12B8" w:rsidRPr="00CE12B8" w:rsidRDefault="00CE12B8" w:rsidP="00CE12B8">
      <w:pPr>
        <w:spacing w:line="480" w:lineRule="auto"/>
        <w:jc w:val="both"/>
        <w:rPr>
          <w:rFonts w:ascii="Times New Roman" w:hAnsi="Times New Roman" w:cs="Times New Roman"/>
        </w:rPr>
      </w:pPr>
      <w:r w:rsidRPr="00CE12B8">
        <w:rPr>
          <w:rFonts w:ascii="Times New Roman" w:hAnsi="Times New Roman" w:cs="Times New Roman"/>
        </w:rPr>
        <w:t># Standardized Figure Sourcing &amp; Replication Protocol</w:t>
      </w:r>
    </w:p>
    <w:p w14:paraId="2F3D8074" w14:textId="77777777" w:rsidR="00CE12B8" w:rsidRPr="00CE12B8" w:rsidRDefault="00CE12B8" w:rsidP="00CE12B8">
      <w:pPr>
        <w:spacing w:line="480" w:lineRule="auto"/>
        <w:jc w:val="both"/>
        <w:rPr>
          <w:rFonts w:ascii="Times New Roman" w:hAnsi="Times New Roman" w:cs="Times New Roman"/>
        </w:rPr>
      </w:pPr>
      <w:r w:rsidRPr="00CE12B8">
        <w:rPr>
          <w:rFonts w:ascii="Times New Roman" w:hAnsi="Times New Roman" w:cs="Times New Roman"/>
        </w:rPr>
        <w:t>To reinforce conceptual transitions and visually train future lab students, you must explicitly insert a standardized figure placeholder using the exact syntax below. Every single figure placeholder must be mapped to a real, highly recognizable, high-impact journal paper (*Nature, JACS, Advanced Materials, Energy &amp; Environmental Science*) with clear, unambiguous metadata enabling the user to immediately pull the original paper, extract the graphic, and reuse it via appropriate citation.</w:t>
      </w:r>
    </w:p>
    <w:p w14:paraId="65759B9C" w14:textId="77777777" w:rsidR="00CE12B8" w:rsidRPr="00CE12B8" w:rsidRDefault="00CE12B8" w:rsidP="00CE12B8">
      <w:pPr>
        <w:spacing w:line="480" w:lineRule="auto"/>
        <w:jc w:val="both"/>
        <w:rPr>
          <w:rFonts w:ascii="Times New Roman" w:hAnsi="Times New Roman" w:cs="Times New Roman"/>
        </w:rPr>
      </w:pPr>
    </w:p>
    <w:p w14:paraId="6BDF95B9" w14:textId="77777777" w:rsidR="00CE12B8" w:rsidRPr="00CE12B8" w:rsidRDefault="00CE12B8" w:rsidP="00CE12B8">
      <w:pPr>
        <w:spacing w:line="480" w:lineRule="auto"/>
        <w:jc w:val="both"/>
        <w:rPr>
          <w:rFonts w:ascii="Times New Roman" w:hAnsi="Times New Roman" w:cs="Times New Roman"/>
        </w:rPr>
      </w:pPr>
      <w:r w:rsidRPr="00CE12B8">
        <w:rPr>
          <w:rFonts w:ascii="Times New Roman" w:hAnsi="Times New Roman" w:cs="Times New Roman"/>
        </w:rPr>
        <w:t>Use this exact syntax:</w:t>
      </w:r>
    </w:p>
    <w:p w14:paraId="7B7FC32E" w14:textId="77777777" w:rsidR="00CE12B8" w:rsidRPr="00CE12B8" w:rsidRDefault="00CE12B8" w:rsidP="00CE12B8">
      <w:pPr>
        <w:spacing w:line="480" w:lineRule="auto"/>
        <w:jc w:val="both"/>
        <w:rPr>
          <w:rFonts w:ascii="Times New Roman" w:hAnsi="Times New Roman" w:cs="Times New Roman"/>
        </w:rPr>
      </w:pPr>
      <w:r w:rsidRPr="00CE12B8">
        <w:rPr>
          <w:rFonts w:ascii="Times New Roman" w:hAnsi="Times New Roman" w:cs="Times New Roman"/>
        </w:rPr>
        <w:t>```markdown</w:t>
      </w:r>
    </w:p>
    <w:p w14:paraId="6F6FA7FB" w14:textId="77777777" w:rsidR="00CE12B8" w:rsidRPr="00CE12B8" w:rsidRDefault="00CE12B8" w:rsidP="00CE12B8">
      <w:pPr>
        <w:spacing w:line="480" w:lineRule="auto"/>
        <w:jc w:val="both"/>
        <w:rPr>
          <w:rFonts w:ascii="Times New Roman" w:hAnsi="Times New Roman" w:cs="Times New Roman"/>
        </w:rPr>
      </w:pPr>
      <w:r w:rsidRPr="00CE12B8">
        <w:rPr>
          <w:rFonts w:ascii="Times New Roman" w:hAnsi="Times New Roman" w:cs="Times New Roman"/>
        </w:rPr>
        <w:t>### [FIGURE PLACEHOLDER: Thesis Section X.Y - Comprehensive Literature/Conceptual Title]</w:t>
      </w:r>
    </w:p>
    <w:p w14:paraId="298C3428" w14:textId="77777777" w:rsidR="00CE12B8" w:rsidRPr="00CE12B8" w:rsidRDefault="00CE12B8" w:rsidP="00CE12B8">
      <w:pPr>
        <w:spacing w:line="480" w:lineRule="auto"/>
        <w:jc w:val="both"/>
        <w:rPr>
          <w:rFonts w:ascii="Times New Roman" w:hAnsi="Times New Roman" w:cs="Times New Roman"/>
        </w:rPr>
      </w:pPr>
      <w:r w:rsidRPr="00CE12B8">
        <w:rPr>
          <w:rFonts w:ascii="Times New Roman" w:hAnsi="Times New Roman" w:cs="Times New Roman"/>
        </w:rPr>
        <w:t>- **Exact Source Paper:** Complete academic metadata (Authors, Journal, Year, Volume, Page/Article Number, and the EXACT Figure Number from that specific paper).</w:t>
      </w:r>
    </w:p>
    <w:p w14:paraId="02B9B2A2" w14:textId="77777777" w:rsidR="00CE12B8" w:rsidRPr="00CE12B8" w:rsidRDefault="00CE12B8" w:rsidP="00CE12B8">
      <w:pPr>
        <w:spacing w:line="480" w:lineRule="auto"/>
        <w:jc w:val="both"/>
        <w:rPr>
          <w:rFonts w:ascii="Times New Roman" w:hAnsi="Times New Roman" w:cs="Times New Roman"/>
        </w:rPr>
      </w:pPr>
      <w:r w:rsidRPr="00CE12B8">
        <w:rPr>
          <w:rFonts w:ascii="Times New Roman" w:hAnsi="Times New Roman" w:cs="Times New Roman"/>
        </w:rPr>
        <w:t>- **Direct Access URL/DOI:** The clickable DOI string or Digital Object Identifier link to immediately locate the source file.</w:t>
      </w:r>
    </w:p>
    <w:p w14:paraId="2906AAFF" w14:textId="77777777" w:rsidR="00CE12B8" w:rsidRPr="00CE12B8" w:rsidRDefault="00CE12B8" w:rsidP="00CE12B8">
      <w:pPr>
        <w:spacing w:line="480" w:lineRule="auto"/>
        <w:jc w:val="both"/>
        <w:rPr>
          <w:rFonts w:ascii="Times New Roman" w:hAnsi="Times New Roman" w:cs="Times New Roman"/>
        </w:rPr>
      </w:pPr>
      <w:r w:rsidRPr="00CE12B8">
        <w:rPr>
          <w:rFonts w:ascii="Times New Roman" w:hAnsi="Times New Roman" w:cs="Times New Roman"/>
        </w:rPr>
        <w:lastRenderedPageBreak/>
        <w:t>- **Reviewer-Level Pedagogical Caption:** Write a highly descriptive, comprehensive, PhD-level caption breaking down all subpanels, axes, physical parameters, and trends as they should appear in the final thesis text.</w:t>
      </w:r>
    </w:p>
    <w:p w14:paraId="2C2A29A4" w14:textId="7FDAD0AD" w:rsidR="00CE12B8" w:rsidRPr="00C502FF" w:rsidRDefault="00CE12B8" w:rsidP="00CE12B8">
      <w:pPr>
        <w:spacing w:line="480" w:lineRule="auto"/>
        <w:jc w:val="both"/>
        <w:rPr>
          <w:rFonts w:ascii="Times New Roman" w:hAnsi="Times New Roman" w:cs="Times New Roman"/>
        </w:rPr>
      </w:pPr>
      <w:r w:rsidRPr="00CE12B8">
        <w:rPr>
          <w:rFonts w:ascii="Times New Roman" w:hAnsi="Times New Roman" w:cs="Times New Roman"/>
        </w:rPr>
        <w:t>- **Scientific Justification:** Provide a rigorous 3-sentence justification detailing why this specific visual representation is structurally mandatory at this exact point in the literature review to solidify the reader's understanding.</w:t>
      </w:r>
    </w:p>
    <w:sectPr w:rsidR="00CE12B8" w:rsidRPr="00C502F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9B185F"/>
    <w:multiLevelType w:val="multilevel"/>
    <w:tmpl w:val="311C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70623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Calibri&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9wpew9ra2s2sqepsvavdsf2zx55zszffwae&quot;&gt;My EndNote Library&lt;record-ids&gt;&lt;item&gt;4&lt;/item&gt;&lt;item&gt;30&lt;/item&gt;&lt;item&gt;32&lt;/item&gt;&lt;item&gt;33&lt;/item&gt;&lt;/record-ids&gt;&lt;/item&gt;&lt;/Libraries&gt;"/>
  </w:docVars>
  <w:rsids>
    <w:rsidRoot w:val="005059B6"/>
    <w:rsid w:val="001A1412"/>
    <w:rsid w:val="005059B6"/>
    <w:rsid w:val="005D047E"/>
    <w:rsid w:val="00655DBA"/>
    <w:rsid w:val="006A1309"/>
    <w:rsid w:val="00A101FE"/>
    <w:rsid w:val="00B341BE"/>
    <w:rsid w:val="00BB2072"/>
    <w:rsid w:val="00C10C4E"/>
    <w:rsid w:val="00C502FF"/>
    <w:rsid w:val="00CE12B8"/>
    <w:rsid w:val="00E82AD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19437"/>
  <w15:chartTrackingRefBased/>
  <w15:docId w15:val="{B112CF41-A70E-47F9-984B-70BFDA643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59B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59B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59B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59B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59B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59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59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59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59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59B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59B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59B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59B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59B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59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59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59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59B6"/>
    <w:rPr>
      <w:rFonts w:eastAsiaTheme="majorEastAsia" w:cstheme="majorBidi"/>
      <w:color w:val="272727" w:themeColor="text1" w:themeTint="D8"/>
    </w:rPr>
  </w:style>
  <w:style w:type="paragraph" w:styleId="Title">
    <w:name w:val="Title"/>
    <w:basedOn w:val="Normal"/>
    <w:next w:val="Normal"/>
    <w:link w:val="TitleChar"/>
    <w:uiPriority w:val="10"/>
    <w:qFormat/>
    <w:rsid w:val="005059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59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59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59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59B6"/>
    <w:pPr>
      <w:spacing w:before="160"/>
      <w:jc w:val="center"/>
    </w:pPr>
    <w:rPr>
      <w:i/>
      <w:iCs/>
      <w:color w:val="404040" w:themeColor="text1" w:themeTint="BF"/>
    </w:rPr>
  </w:style>
  <w:style w:type="character" w:customStyle="1" w:styleId="QuoteChar">
    <w:name w:val="Quote Char"/>
    <w:basedOn w:val="DefaultParagraphFont"/>
    <w:link w:val="Quote"/>
    <w:uiPriority w:val="29"/>
    <w:rsid w:val="005059B6"/>
    <w:rPr>
      <w:i/>
      <w:iCs/>
      <w:color w:val="404040" w:themeColor="text1" w:themeTint="BF"/>
    </w:rPr>
  </w:style>
  <w:style w:type="paragraph" w:styleId="ListParagraph">
    <w:name w:val="List Paragraph"/>
    <w:basedOn w:val="Normal"/>
    <w:uiPriority w:val="34"/>
    <w:qFormat/>
    <w:rsid w:val="005059B6"/>
    <w:pPr>
      <w:ind w:left="720"/>
      <w:contextualSpacing/>
    </w:pPr>
  </w:style>
  <w:style w:type="character" w:styleId="IntenseEmphasis">
    <w:name w:val="Intense Emphasis"/>
    <w:basedOn w:val="DefaultParagraphFont"/>
    <w:uiPriority w:val="21"/>
    <w:qFormat/>
    <w:rsid w:val="005059B6"/>
    <w:rPr>
      <w:i/>
      <w:iCs/>
      <w:color w:val="2F5496" w:themeColor="accent1" w:themeShade="BF"/>
    </w:rPr>
  </w:style>
  <w:style w:type="paragraph" w:styleId="IntenseQuote">
    <w:name w:val="Intense Quote"/>
    <w:basedOn w:val="Normal"/>
    <w:next w:val="Normal"/>
    <w:link w:val="IntenseQuoteChar"/>
    <w:uiPriority w:val="30"/>
    <w:qFormat/>
    <w:rsid w:val="005059B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59B6"/>
    <w:rPr>
      <w:i/>
      <w:iCs/>
      <w:color w:val="2F5496" w:themeColor="accent1" w:themeShade="BF"/>
    </w:rPr>
  </w:style>
  <w:style w:type="character" w:styleId="IntenseReference">
    <w:name w:val="Intense Reference"/>
    <w:basedOn w:val="DefaultParagraphFont"/>
    <w:uiPriority w:val="32"/>
    <w:qFormat/>
    <w:rsid w:val="005059B6"/>
    <w:rPr>
      <w:b/>
      <w:bCs/>
      <w:smallCaps/>
      <w:color w:val="2F5496" w:themeColor="accent1" w:themeShade="BF"/>
      <w:spacing w:val="5"/>
    </w:rPr>
  </w:style>
  <w:style w:type="paragraph" w:customStyle="1" w:styleId="EndNoteBibliographyTitle">
    <w:name w:val="EndNote Bibliography Title"/>
    <w:basedOn w:val="Normal"/>
    <w:link w:val="EndNoteBibliographyTitleChar"/>
    <w:rsid w:val="00E82ADD"/>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E82ADD"/>
    <w:rPr>
      <w:rFonts w:ascii="Calibri" w:hAnsi="Calibri" w:cs="Calibri"/>
      <w:noProof/>
      <w:lang w:val="en-US"/>
    </w:rPr>
  </w:style>
  <w:style w:type="paragraph" w:customStyle="1" w:styleId="EndNoteBibliography">
    <w:name w:val="EndNote Bibliography"/>
    <w:basedOn w:val="Normal"/>
    <w:link w:val="EndNoteBibliographyChar"/>
    <w:rsid w:val="00E82ADD"/>
    <w:pPr>
      <w:spacing w:line="240" w:lineRule="auto"/>
      <w:jc w:val="both"/>
    </w:pPr>
    <w:rPr>
      <w:rFonts w:ascii="Calibri" w:hAnsi="Calibri" w:cs="Calibri"/>
      <w:noProof/>
      <w:lang w:val="en-US"/>
    </w:rPr>
  </w:style>
  <w:style w:type="character" w:customStyle="1" w:styleId="EndNoteBibliographyChar">
    <w:name w:val="EndNote Bibliography Char"/>
    <w:basedOn w:val="DefaultParagraphFont"/>
    <w:link w:val="EndNoteBibliography"/>
    <w:rsid w:val="00E82ADD"/>
    <w:rPr>
      <w:rFonts w:ascii="Calibri" w:hAnsi="Calibri" w:cs="Calibri"/>
      <w:noProof/>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A86AD1-2302-4262-A3E9-A9587DC6FD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362</TotalTime>
  <Pages>29</Pages>
  <Words>7479</Words>
  <Characters>42635</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18chph20@uohyd.ac.in</dc:creator>
  <cp:keywords/>
  <dc:description/>
  <cp:lastModifiedBy>18chph20@uohyd.ac.in</cp:lastModifiedBy>
  <cp:revision>1</cp:revision>
  <dcterms:created xsi:type="dcterms:W3CDTF">2026-06-08T08:10:00Z</dcterms:created>
  <dcterms:modified xsi:type="dcterms:W3CDTF">2026-06-13T16:10:00Z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e7212380-54f1-4921-aacc-2fdeba7c789b</vt:lpwstr>
  </property>
</Properties>
</file>