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735BD" w14:textId="77777777" w:rsidR="00504D71" w:rsidRPr="00504D71" w:rsidRDefault="00504D71" w:rsidP="00504D71">
      <w:pPr>
        <w:spacing w:line="360" w:lineRule="auto"/>
        <w:jc w:val="both"/>
        <w:rPr>
          <w:rFonts w:ascii="Times New Roman" w:hAnsi="Times New Roman" w:cs="Times New Roman"/>
          <w:b/>
          <w:bCs/>
        </w:rPr>
      </w:pPr>
      <w:r w:rsidRPr="00504D71">
        <w:rPr>
          <w:rFonts w:ascii="Times New Roman" w:hAnsi="Times New Roman" w:cs="Times New Roman"/>
          <w:b/>
          <w:bCs/>
        </w:rPr>
        <w:t>Chapter 1: Introduction</w:t>
      </w:r>
    </w:p>
    <w:p w14:paraId="457581A8" w14:textId="77777777" w:rsidR="00504D71" w:rsidRPr="00504D71" w:rsidRDefault="00504D71" w:rsidP="00504D71">
      <w:pPr>
        <w:spacing w:line="360" w:lineRule="auto"/>
        <w:jc w:val="both"/>
        <w:rPr>
          <w:rFonts w:ascii="Times New Roman" w:hAnsi="Times New Roman" w:cs="Times New Roman"/>
          <w:b/>
          <w:bCs/>
        </w:rPr>
      </w:pPr>
      <w:r w:rsidRPr="00504D71">
        <w:rPr>
          <w:rFonts w:ascii="Times New Roman" w:hAnsi="Times New Roman" w:cs="Times New Roman"/>
          <w:b/>
          <w:bCs/>
        </w:rPr>
        <w:t>1.1 The Macro Imperative for Advanced Emissive Materials</w:t>
      </w:r>
    </w:p>
    <w:p w14:paraId="47FBD662"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The twentieth century bequeathed humanity two technological revolutions in artificial light: the incandescent lamp, which converted resistive Joule heating into a broad thermal emission spectrum, and the fluorescent tube, which exploited plasma-excited mercury vapor to pump phosphorescent coatings into green-biased white emission. Both technologies were transformative in their epochs. Neither was efficient. The incandescent bulb, operating as a blackbody radiator at filament temperatures approaching 2700 K, converts barely 5% of consumed electrical energy into visible photons [1]; the remainder exits as infrared radiation — heat radiated into conditioned spaces, cooled at further energetic cost, in a thermodynamic irony that persisted for over a century.</w:t>
      </w:r>
    </w:p>
    <w:p w14:paraId="235C4AF7"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The global reckoning with this inefficiency is no longer academic. Lighting alone accounts for approximately 15% of global electricity consumption and nearly 5% of worldwide greenhouse gas emissions [2]. As of 2022, the International Energy Agency reported that buildings — the primary hosts of artificial lighting — are responsible for 30% of global final energy consumption and 26% of energy-related CO₂ emissions [3]. When display technology is considered alongside general illumination, the aggregate energetic footprint expands further: the proliferation of smartphones, tablets, high-definition televisions, and professional monitors has installed billions of liquid-crystal display (LCD) panels and organic light-emitting diode (OLED) screens as permanent fixtures of the built environment, each consuming power continuously across waking hours. The arithmetic of this scale demands materials that do more with less — not incrementally better, but categorically superior in the physical processes by which they convert electrons into photons.</w:t>
      </w:r>
    </w:p>
    <w:p w14:paraId="26B4A5A5" w14:textId="77777777" w:rsidR="00504D71" w:rsidRPr="00504D71" w:rsidRDefault="00504D71" w:rsidP="00504D71">
      <w:pPr>
        <w:spacing w:line="360" w:lineRule="auto"/>
        <w:jc w:val="both"/>
        <w:rPr>
          <w:rFonts w:ascii="Times New Roman" w:hAnsi="Times New Roman" w:cs="Times New Roman"/>
          <w:b/>
          <w:bCs/>
        </w:rPr>
      </w:pPr>
      <w:r w:rsidRPr="00504D71">
        <w:rPr>
          <w:rFonts w:ascii="Times New Roman" w:hAnsi="Times New Roman" w:cs="Times New Roman"/>
          <w:b/>
          <w:bCs/>
        </w:rPr>
        <w:t>1.1.1 The Efficiency Landscape: Where Existing Technologies Fall Short</w:t>
      </w:r>
    </w:p>
    <w:p w14:paraId="7B438274"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To appreciate why the search for advanced emissive materials is not merely academically motivated but structurally necessary, one must examine the efficiency ceiling of incumbent technologies with physical precision. The relevant quantity is the </w:t>
      </w:r>
      <w:r w:rsidRPr="00504D71">
        <w:rPr>
          <w:rFonts w:ascii="Times New Roman" w:hAnsi="Times New Roman" w:cs="Times New Roman"/>
          <w:i/>
          <w:iCs/>
        </w:rPr>
        <w:t>wall-plug efficiency</w:t>
      </w:r>
      <w:r w:rsidRPr="00504D71">
        <w:rPr>
          <w:rFonts w:ascii="Times New Roman" w:hAnsi="Times New Roman" w:cs="Times New Roman"/>
        </w:rPr>
        <w:t xml:space="preserve"> (WPE), the ratio of optical power emitted to electrical power consumed, which encompasses every energy loss channel from charge injection to photon extraction:</w:t>
      </w:r>
    </w:p>
    <w:p w14:paraId="67F0A256"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$$\eta_{\</w:t>
      </w:r>
      <w:proofErr w:type="gramStart"/>
      <w:r w:rsidRPr="00504D71">
        <w:rPr>
          <w:rFonts w:ascii="Times New Roman" w:hAnsi="Times New Roman" w:cs="Times New Roman"/>
        </w:rPr>
        <w:t>text{</w:t>
      </w:r>
      <w:proofErr w:type="gramEnd"/>
      <w:r w:rsidRPr="00504D71">
        <w:rPr>
          <w:rFonts w:ascii="Times New Roman" w:hAnsi="Times New Roman" w:cs="Times New Roman"/>
        </w:rPr>
        <w:t>WPE}} = \eta_{\text{</w:t>
      </w:r>
      <w:proofErr w:type="spellStart"/>
      <w:r w:rsidRPr="00504D71">
        <w:rPr>
          <w:rFonts w:ascii="Times New Roman" w:hAnsi="Times New Roman" w:cs="Times New Roman"/>
        </w:rPr>
        <w:t>inj</w:t>
      </w:r>
      <w:proofErr w:type="spellEnd"/>
      <w:r w:rsidRPr="00504D71">
        <w:rPr>
          <w:rFonts w:ascii="Times New Roman" w:hAnsi="Times New Roman" w:cs="Times New Roman"/>
        </w:rPr>
        <w:t>}} \</w:t>
      </w:r>
      <w:proofErr w:type="spellStart"/>
      <w:r w:rsidRPr="00504D71">
        <w:rPr>
          <w:rFonts w:ascii="Times New Roman" w:hAnsi="Times New Roman" w:cs="Times New Roman"/>
        </w:rPr>
        <w:t>cdot</w:t>
      </w:r>
      <w:proofErr w:type="spellEnd"/>
      <w:r w:rsidRPr="00504D71">
        <w:rPr>
          <w:rFonts w:ascii="Times New Roman" w:hAnsi="Times New Roman" w:cs="Times New Roman"/>
        </w:rPr>
        <w:t xml:space="preserve"> \eta_{\text{rad}} \</w:t>
      </w:r>
      <w:proofErr w:type="spellStart"/>
      <w:r w:rsidRPr="00504D71">
        <w:rPr>
          <w:rFonts w:ascii="Times New Roman" w:hAnsi="Times New Roman" w:cs="Times New Roman"/>
        </w:rPr>
        <w:t>cdot</w:t>
      </w:r>
      <w:proofErr w:type="spellEnd"/>
      <w:r w:rsidRPr="00504D71">
        <w:rPr>
          <w:rFonts w:ascii="Times New Roman" w:hAnsi="Times New Roman" w:cs="Times New Roman"/>
        </w:rPr>
        <w:t xml:space="preserve"> \eta_{\text{out</w:t>
      </w:r>
      <w:proofErr w:type="gramStart"/>
      <w:r w:rsidRPr="00504D71">
        <w:rPr>
          <w:rFonts w:ascii="Times New Roman" w:hAnsi="Times New Roman" w:cs="Times New Roman"/>
        </w:rPr>
        <w:t>}}$</w:t>
      </w:r>
      <w:proofErr w:type="gramEnd"/>
      <w:r w:rsidRPr="00504D71">
        <w:rPr>
          <w:rFonts w:ascii="Times New Roman" w:hAnsi="Times New Roman" w:cs="Times New Roman"/>
        </w:rPr>
        <w:t>$</w:t>
      </w:r>
    </w:p>
    <w:p w14:paraId="1590A35F"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lastRenderedPageBreak/>
        <w:t>where $\eta_{\text{</w:t>
      </w:r>
      <w:proofErr w:type="spellStart"/>
      <w:r w:rsidRPr="00504D71">
        <w:rPr>
          <w:rFonts w:ascii="Times New Roman" w:hAnsi="Times New Roman" w:cs="Times New Roman"/>
        </w:rPr>
        <w:t>inj</w:t>
      </w:r>
      <w:proofErr w:type="spellEnd"/>
      <w:r w:rsidRPr="00504D71">
        <w:rPr>
          <w:rFonts w:ascii="Times New Roman" w:hAnsi="Times New Roman" w:cs="Times New Roman"/>
        </w:rPr>
        <w:t>}}$ is the charge injection efficiency into the emissive layer, $\eta_{\text{rad}}$ is the radiative recombination efficiency (the fraction of electron-hole pairs that recombine to produce photons rather than heat), and $\eta_{\text{out}}$ is the light extraction efficiency (the fraction of internally generated photons that escape the device rather than being trapped by total internal reflection or reabsorbed) [4]. Each of these three terms is independently bounded by distinct physical phenomena, and the product of their imperfections defines the gap between what nature permits and what engineering has achieved.</w:t>
      </w:r>
    </w:p>
    <w:p w14:paraId="68D83D17"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Phosphor-converted white LEDs (pc-LEDs), which currently dominate the general illumination market, achieve WPE values of 40–50% in commercial devices — a remarkable advance over incandescence, yet still losing the majority of input energy to heat [5]. The fundamental inefficiency is rooted in the </w:t>
      </w:r>
      <w:r w:rsidRPr="00504D71">
        <w:rPr>
          <w:rFonts w:ascii="Times New Roman" w:hAnsi="Times New Roman" w:cs="Times New Roman"/>
          <w:i/>
          <w:iCs/>
        </w:rPr>
        <w:t>Stokes shift</w:t>
      </w:r>
      <w:r w:rsidRPr="00504D71">
        <w:rPr>
          <w:rFonts w:ascii="Times New Roman" w:hAnsi="Times New Roman" w:cs="Times New Roman"/>
        </w:rPr>
        <w:t xml:space="preserve"> of the phosphor: a blue </w:t>
      </w:r>
      <w:proofErr w:type="spellStart"/>
      <w:r w:rsidRPr="00504D71">
        <w:rPr>
          <w:rFonts w:ascii="Times New Roman" w:hAnsi="Times New Roman" w:cs="Times New Roman"/>
        </w:rPr>
        <w:t>InGaN</w:t>
      </w:r>
      <w:proofErr w:type="spellEnd"/>
      <w:r w:rsidRPr="00504D71">
        <w:rPr>
          <w:rFonts w:ascii="Times New Roman" w:hAnsi="Times New Roman" w:cs="Times New Roman"/>
        </w:rPr>
        <w:t xml:space="preserve"> LED chip at ~450 nm pumps a broad-emission yellow garnet phosphor (typically cerium-doped yttrium aluminium garnet, Ce³</w:t>
      </w:r>
      <w:proofErr w:type="gramStart"/>
      <w:r w:rsidRPr="00504D71">
        <w:rPr>
          <w:rFonts w:ascii="Times New Roman" w:hAnsi="Times New Roman" w:cs="Times New Roman"/>
        </w:rPr>
        <w:t>⁺:YAG</w:t>
      </w:r>
      <w:proofErr w:type="gramEnd"/>
      <w:r w:rsidRPr="00504D71">
        <w:rPr>
          <w:rFonts w:ascii="Times New Roman" w:hAnsi="Times New Roman" w:cs="Times New Roman"/>
        </w:rPr>
        <w:t xml:space="preserve">), and the energy difference between the absorbed blue photon and the emitted yellow photon is dissipated as phonon energy within the phosphor crystal lattice. This </w:t>
      </w:r>
      <w:r w:rsidRPr="00504D71">
        <w:rPr>
          <w:rFonts w:ascii="Times New Roman" w:hAnsi="Times New Roman" w:cs="Times New Roman"/>
          <w:i/>
          <w:iCs/>
        </w:rPr>
        <w:t>phosphor conversion loss</w:t>
      </w:r>
      <w:r w:rsidRPr="00504D71">
        <w:rPr>
          <w:rFonts w:ascii="Times New Roman" w:hAnsi="Times New Roman" w:cs="Times New Roman"/>
        </w:rPr>
        <w:t xml:space="preserve"> is irreducible within the constraints of the Stokes-shifted mechanism, imposing a thermodynamic tax on every lumen produced [6]. The resulting white light, a convolution of residual blue pump emission and the broad phosphor spectrum peaking near 560 nm, spans a full-width at half-maximum (FWHM) of 100–150 nm — spectrally wide, wasteful of </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purity, and deeply inadequate for applications requiring precise chromaticity.</w:t>
      </w:r>
    </w:p>
    <w:p w14:paraId="4AAC836E"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For display applications, the inadequacy is compounded by the architecture of LCD panels. An LCD does not generate light; it </w:t>
      </w:r>
      <w:r w:rsidRPr="00504D71">
        <w:rPr>
          <w:rFonts w:ascii="Times New Roman" w:hAnsi="Times New Roman" w:cs="Times New Roman"/>
          <w:i/>
          <w:iCs/>
        </w:rPr>
        <w:t>modulates</w:t>
      </w:r>
      <w:r w:rsidRPr="00504D71">
        <w:rPr>
          <w:rFonts w:ascii="Times New Roman" w:hAnsi="Times New Roman" w:cs="Times New Roman"/>
        </w:rPr>
        <w:t xml:space="preserve"> a white backlight through liquid-crystal shutters and </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filters. Red, green, and blue </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filters transmit only a narrow spectral window of the incident white light, blocking — and thus wasting as heat — the majority of the emitted photons [7]. The </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gamut accessible to such a system is bounded by the spectral positions and widths of the primary emission peaks: broad emission spectra produce primaries that overlap significantly in CIE </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space, compressing the triangle of representable </w:t>
      </w:r>
      <w:proofErr w:type="spellStart"/>
      <w:r w:rsidRPr="00504D71">
        <w:rPr>
          <w:rFonts w:ascii="Times New Roman" w:hAnsi="Times New Roman" w:cs="Times New Roman"/>
        </w:rPr>
        <w:t>colors</w:t>
      </w:r>
      <w:proofErr w:type="spellEnd"/>
      <w:r w:rsidRPr="00504D71">
        <w:rPr>
          <w:rFonts w:ascii="Times New Roman" w:hAnsi="Times New Roman" w:cs="Times New Roman"/>
        </w:rPr>
        <w:t xml:space="preserve">. The standard for next-generation professional displays, </w:t>
      </w:r>
      <w:r w:rsidRPr="00504D71">
        <w:rPr>
          <w:rFonts w:ascii="Times New Roman" w:hAnsi="Times New Roman" w:cs="Times New Roman"/>
          <w:i/>
          <w:iCs/>
        </w:rPr>
        <w:t>ITU-R Recommendation BT.2020</w:t>
      </w:r>
      <w:r w:rsidRPr="00504D71">
        <w:rPr>
          <w:rFonts w:ascii="Times New Roman" w:hAnsi="Times New Roman" w:cs="Times New Roman"/>
        </w:rPr>
        <w:t xml:space="preserve"> (Rec. 2020), specifies primary chromaticity coordinates of (0.708, 0.292) for red, (0.170, 0.797) for green, and (0.131, 0.046) for blue [8] — coordinates achievable only by emission linewidths well below 30 nm FWHM, a criterion that pc-LED-pumped phosphors fail by a factor of three to five.</w:t>
      </w:r>
    </w:p>
    <w:p w14:paraId="573AF843" w14:textId="77777777" w:rsidR="00504D71" w:rsidRPr="00504D71" w:rsidRDefault="00504D71" w:rsidP="00504D71">
      <w:pPr>
        <w:spacing w:line="360" w:lineRule="auto"/>
        <w:jc w:val="both"/>
        <w:rPr>
          <w:rFonts w:ascii="Times New Roman" w:hAnsi="Times New Roman" w:cs="Times New Roman"/>
          <w:b/>
          <w:bCs/>
        </w:rPr>
      </w:pPr>
      <w:r w:rsidRPr="00504D71">
        <w:rPr>
          <w:rFonts w:ascii="Times New Roman" w:hAnsi="Times New Roman" w:cs="Times New Roman"/>
          <w:b/>
          <w:bCs/>
        </w:rPr>
        <w:lastRenderedPageBreak/>
        <w:t xml:space="preserve">[FIGURE PLACEHOLDER: Thesis Section 1.1 — CIE 1931 </w:t>
      </w:r>
      <w:proofErr w:type="spellStart"/>
      <w:r w:rsidRPr="00504D71">
        <w:rPr>
          <w:rFonts w:ascii="Times New Roman" w:hAnsi="Times New Roman" w:cs="Times New Roman"/>
          <w:b/>
          <w:bCs/>
        </w:rPr>
        <w:t>Color</w:t>
      </w:r>
      <w:proofErr w:type="spellEnd"/>
      <w:r w:rsidRPr="00504D71">
        <w:rPr>
          <w:rFonts w:ascii="Times New Roman" w:hAnsi="Times New Roman" w:cs="Times New Roman"/>
          <w:b/>
          <w:bCs/>
        </w:rPr>
        <w:t xml:space="preserve"> Space Comparison of Display Primaries]</w:t>
      </w:r>
    </w:p>
    <w:p w14:paraId="0C53125C" w14:textId="77777777" w:rsidR="00504D71" w:rsidRPr="00504D71" w:rsidRDefault="00504D71" w:rsidP="00504D71">
      <w:pPr>
        <w:numPr>
          <w:ilvl w:val="0"/>
          <w:numId w:val="1"/>
        </w:numPr>
        <w:spacing w:line="360" w:lineRule="auto"/>
        <w:jc w:val="both"/>
        <w:rPr>
          <w:rFonts w:ascii="Times New Roman" w:hAnsi="Times New Roman" w:cs="Times New Roman"/>
        </w:rPr>
      </w:pPr>
      <w:r w:rsidRPr="00504D71">
        <w:rPr>
          <w:rFonts w:ascii="Times New Roman" w:hAnsi="Times New Roman" w:cs="Times New Roman"/>
          <w:b/>
          <w:bCs/>
        </w:rPr>
        <w:t>Exact Source Paper:</w:t>
      </w:r>
      <w:r w:rsidRPr="00504D71">
        <w:rPr>
          <w:rFonts w:ascii="Times New Roman" w:hAnsi="Times New Roman" w:cs="Times New Roman"/>
        </w:rPr>
        <w:t xml:space="preserve"> Joo, W.-J. et al., "</w:t>
      </w:r>
      <w:proofErr w:type="spellStart"/>
      <w:r w:rsidRPr="00504D71">
        <w:rPr>
          <w:rFonts w:ascii="Times New Roman" w:hAnsi="Times New Roman" w:cs="Times New Roman"/>
        </w:rPr>
        <w:t>Metasurface</w:t>
      </w:r>
      <w:proofErr w:type="spellEnd"/>
      <w:r w:rsidRPr="00504D71">
        <w:rPr>
          <w:rFonts w:ascii="Times New Roman" w:hAnsi="Times New Roman" w:cs="Times New Roman"/>
        </w:rPr>
        <w:t xml:space="preserve">-driven OLED displays beyond 10,000 pixels per inch," </w:t>
      </w:r>
      <w:r w:rsidRPr="00504D71">
        <w:rPr>
          <w:rFonts w:ascii="Times New Roman" w:hAnsi="Times New Roman" w:cs="Times New Roman"/>
          <w:i/>
          <w:iCs/>
        </w:rPr>
        <w:t>Science</w:t>
      </w:r>
      <w:r w:rsidRPr="00504D71">
        <w:rPr>
          <w:rFonts w:ascii="Times New Roman" w:hAnsi="Times New Roman" w:cs="Times New Roman"/>
        </w:rPr>
        <w:t xml:space="preserve">, 2020, Vol. 370, Issue 6515, pp. 459–463. </w:t>
      </w:r>
      <w:r w:rsidRPr="00504D71">
        <w:rPr>
          <w:rFonts w:ascii="Times New Roman" w:hAnsi="Times New Roman" w:cs="Times New Roman"/>
          <w:b/>
          <w:bCs/>
        </w:rPr>
        <w:t>Figure 1</w:t>
      </w:r>
      <w:r w:rsidRPr="00504D71">
        <w:rPr>
          <w:rFonts w:ascii="Times New Roman" w:hAnsi="Times New Roman" w:cs="Times New Roman"/>
        </w:rPr>
        <w:t>.</w:t>
      </w:r>
    </w:p>
    <w:p w14:paraId="69F41C1A" w14:textId="77777777" w:rsidR="00504D71" w:rsidRPr="00504D71" w:rsidRDefault="00504D71" w:rsidP="00504D71">
      <w:pPr>
        <w:numPr>
          <w:ilvl w:val="0"/>
          <w:numId w:val="1"/>
        </w:numPr>
        <w:spacing w:line="360" w:lineRule="auto"/>
        <w:jc w:val="both"/>
        <w:rPr>
          <w:rFonts w:ascii="Times New Roman" w:hAnsi="Times New Roman" w:cs="Times New Roman"/>
        </w:rPr>
      </w:pPr>
      <w:r w:rsidRPr="00504D71">
        <w:rPr>
          <w:rFonts w:ascii="Times New Roman" w:hAnsi="Times New Roman" w:cs="Times New Roman"/>
          <w:b/>
          <w:bCs/>
        </w:rPr>
        <w:t>Direct Access URL/DOI:</w:t>
      </w:r>
      <w:r w:rsidRPr="00504D71">
        <w:rPr>
          <w:rFonts w:ascii="Times New Roman" w:hAnsi="Times New Roman" w:cs="Times New Roman"/>
        </w:rPr>
        <w:t xml:space="preserve"> https://doi.org/10.1126/science.abb5861</w:t>
      </w:r>
    </w:p>
    <w:p w14:paraId="54E6F2A0" w14:textId="77777777" w:rsidR="00504D71" w:rsidRPr="00504D71" w:rsidRDefault="00504D71" w:rsidP="00504D71">
      <w:pPr>
        <w:numPr>
          <w:ilvl w:val="0"/>
          <w:numId w:val="1"/>
        </w:numPr>
        <w:spacing w:line="360" w:lineRule="auto"/>
        <w:jc w:val="both"/>
        <w:rPr>
          <w:rFonts w:ascii="Times New Roman" w:hAnsi="Times New Roman" w:cs="Times New Roman"/>
        </w:rPr>
      </w:pPr>
      <w:r w:rsidRPr="00504D71">
        <w:rPr>
          <w:rFonts w:ascii="Times New Roman" w:hAnsi="Times New Roman" w:cs="Times New Roman"/>
          <w:b/>
          <w:bCs/>
        </w:rPr>
        <w:t>Reviewer-Level Pedagogical Caption:</w:t>
      </w:r>
      <w:r w:rsidRPr="00504D71">
        <w:rPr>
          <w:rFonts w:ascii="Times New Roman" w:hAnsi="Times New Roman" w:cs="Times New Roman"/>
        </w:rPr>
        <w:t xml:space="preserve"> Figure 1 presents the CIE 1931 chromaticity diagram overlaid with the gamut triangles of the sRGB standard (white dashed), the DCI-P3 standard (grey), and the Rec. 2020 standard (white solid), together with the measured primary coordinates of state-of-the-art OLED and LCD display technologies. The contraction of the representable </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gamut from the Rec. 2020 boundary toward the sRGB triangle is directly attributable to the broad spectral width of organic emitters and phosphor-converted sources used as display primaries. The figure pedagogically illustrates that achieving Rec. 2020 compliance is not an incremental improvement but a qualitative leap that demands narrow-linewidth (FWHM &lt; 25 nm) emissive materials with precisely </w:t>
      </w:r>
      <w:proofErr w:type="spellStart"/>
      <w:r w:rsidRPr="00504D71">
        <w:rPr>
          <w:rFonts w:ascii="Times New Roman" w:hAnsi="Times New Roman" w:cs="Times New Roman"/>
        </w:rPr>
        <w:t>tunable</w:t>
      </w:r>
      <w:proofErr w:type="spellEnd"/>
      <w:r w:rsidRPr="00504D71">
        <w:rPr>
          <w:rFonts w:ascii="Times New Roman" w:hAnsi="Times New Roman" w:cs="Times New Roman"/>
        </w:rPr>
        <w:t xml:space="preserve"> peak emission wavelengths — a requirement that incumbent technologies structurally cannot satisfy.</w:t>
      </w:r>
    </w:p>
    <w:p w14:paraId="3AF6D485"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OLED displays, while circumventing the backlight-filter architecture by producing light directly at each pixel, introduce distinct efficiency challenges. Organic emitters are molecular chromophores in which radiative decay competes with non-radiative pathways — vibrational relaxation, intersystem crossing to dark triplet states, and concentration quenching — that reduce the photoluminescence quantum yield (PLQY) under operational conditions [9]. Thermally activated delayed fluorescence (TADF) emitters and phosphorescent organometallic complexes have partially addressed triplet harvesting, achieving external quantum efficiencies (EQE) above 20% in optimized device structures [10]. The blue channel, however, remains the Achilles heel of OLED technology: the higher photon energy of blue emission necessitates larger organic HOMO-LUMO gaps, which correlate with deeper charge injection barriers, reduced carrier mobility, and accelerated photooxidative degradation of the emissive layer — a problem so severe that commercial OLED displays compensate by overdriving the blue sub-pixel, deliberately accepting accelerated aging to maintain </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balance across the panel lifetime [11]. This is not an engineering failure but a materials limitation: the organic chromophore, as a class, suffers from an intrinsic tension between spectral position, efficiency, and photostability in the blue spectral region.</w:t>
      </w:r>
    </w:p>
    <w:p w14:paraId="2A43B77A" w14:textId="77777777" w:rsidR="00504D71" w:rsidRPr="00504D71" w:rsidRDefault="00504D71" w:rsidP="00504D71">
      <w:pPr>
        <w:spacing w:line="360" w:lineRule="auto"/>
        <w:jc w:val="both"/>
        <w:rPr>
          <w:rFonts w:ascii="Times New Roman" w:hAnsi="Times New Roman" w:cs="Times New Roman"/>
          <w:b/>
          <w:bCs/>
        </w:rPr>
      </w:pPr>
      <w:r w:rsidRPr="00504D71">
        <w:rPr>
          <w:rFonts w:ascii="Times New Roman" w:hAnsi="Times New Roman" w:cs="Times New Roman"/>
          <w:b/>
          <w:bCs/>
        </w:rPr>
        <w:lastRenderedPageBreak/>
        <w:t xml:space="preserve">1.1.2 The </w:t>
      </w:r>
      <w:proofErr w:type="spellStart"/>
      <w:r w:rsidRPr="00504D71">
        <w:rPr>
          <w:rFonts w:ascii="Times New Roman" w:hAnsi="Times New Roman" w:cs="Times New Roman"/>
          <w:b/>
          <w:bCs/>
        </w:rPr>
        <w:t>Color</w:t>
      </w:r>
      <w:proofErr w:type="spellEnd"/>
      <w:r w:rsidRPr="00504D71">
        <w:rPr>
          <w:rFonts w:ascii="Times New Roman" w:hAnsi="Times New Roman" w:cs="Times New Roman"/>
          <w:b/>
          <w:bCs/>
        </w:rPr>
        <w:t xml:space="preserve"> Purity Imperative: A Quantum-Mechanical Framing</w:t>
      </w:r>
    </w:p>
    <w:p w14:paraId="02E28FE7" w14:textId="77777777" w:rsidR="00504D71" w:rsidRPr="00504D71" w:rsidRDefault="00504D71" w:rsidP="00504D71">
      <w:pPr>
        <w:spacing w:line="360" w:lineRule="auto"/>
        <w:jc w:val="both"/>
        <w:rPr>
          <w:rFonts w:ascii="Times New Roman" w:hAnsi="Times New Roman" w:cs="Times New Roman"/>
        </w:rPr>
      </w:pP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purity, in the formal sense used by display engineers, is defined as the </w:t>
      </w:r>
      <w:r w:rsidRPr="00504D71">
        <w:rPr>
          <w:rFonts w:ascii="Times New Roman" w:hAnsi="Times New Roman" w:cs="Times New Roman"/>
          <w:i/>
          <w:iCs/>
        </w:rPr>
        <w:t>excitation purity</w:t>
      </w:r>
      <w:r w:rsidRPr="00504D71">
        <w:rPr>
          <w:rFonts w:ascii="Times New Roman" w:hAnsi="Times New Roman" w:cs="Times New Roman"/>
        </w:rPr>
        <w:t xml:space="preserve"> $</w:t>
      </w:r>
      <w:proofErr w:type="spellStart"/>
      <w:r w:rsidRPr="00504D71">
        <w:rPr>
          <w:rFonts w:ascii="Times New Roman" w:hAnsi="Times New Roman" w:cs="Times New Roman"/>
        </w:rPr>
        <w:t>p_e</w:t>
      </w:r>
      <w:proofErr w:type="spellEnd"/>
      <w:r w:rsidRPr="00504D71">
        <w:rPr>
          <w:rFonts w:ascii="Times New Roman" w:hAnsi="Times New Roman" w:cs="Times New Roman"/>
        </w:rPr>
        <w:t>$, a metric that quantifies how far a given chromaticity point lies from the white point along a line toward the spectral locus:</w:t>
      </w:r>
    </w:p>
    <w:p w14:paraId="48B73675"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w:t>
      </w:r>
      <w:proofErr w:type="spellStart"/>
      <w:r w:rsidRPr="00504D71">
        <w:rPr>
          <w:rFonts w:ascii="Times New Roman" w:hAnsi="Times New Roman" w:cs="Times New Roman"/>
        </w:rPr>
        <w:t>p_e</w:t>
      </w:r>
      <w:proofErr w:type="spellEnd"/>
      <w:r w:rsidRPr="00504D71">
        <w:rPr>
          <w:rFonts w:ascii="Times New Roman" w:hAnsi="Times New Roman" w:cs="Times New Roman"/>
        </w:rPr>
        <w:t xml:space="preserve"> = \frac{\overline{d</w:t>
      </w:r>
      <w:proofErr w:type="gramStart"/>
      <w:r w:rsidRPr="00504D71">
        <w:rPr>
          <w:rFonts w:ascii="Times New Roman" w:hAnsi="Times New Roman" w:cs="Times New Roman"/>
        </w:rPr>
        <w:t>}(</w:t>
      </w:r>
      <w:proofErr w:type="gramEnd"/>
      <w:r w:rsidRPr="00504D71">
        <w:rPr>
          <w:rFonts w:ascii="Times New Roman" w:hAnsi="Times New Roman" w:cs="Times New Roman"/>
        </w:rPr>
        <w:t>C, W</w:t>
      </w:r>
      <w:proofErr w:type="gramStart"/>
      <w:r w:rsidRPr="00504D71">
        <w:rPr>
          <w:rFonts w:ascii="Times New Roman" w:hAnsi="Times New Roman" w:cs="Times New Roman"/>
        </w:rPr>
        <w:t>)}{</w:t>
      </w:r>
      <w:proofErr w:type="gramEnd"/>
      <w:r w:rsidRPr="00504D71">
        <w:rPr>
          <w:rFonts w:ascii="Times New Roman" w:hAnsi="Times New Roman" w:cs="Times New Roman"/>
        </w:rPr>
        <w:t>\overline{d</w:t>
      </w:r>
      <w:proofErr w:type="gramStart"/>
      <w:r w:rsidRPr="00504D71">
        <w:rPr>
          <w:rFonts w:ascii="Times New Roman" w:hAnsi="Times New Roman" w:cs="Times New Roman"/>
        </w:rPr>
        <w:t>}(</w:t>
      </w:r>
      <w:proofErr w:type="gramEnd"/>
      <w:r w:rsidRPr="00504D71">
        <w:rPr>
          <w:rFonts w:ascii="Times New Roman" w:hAnsi="Times New Roman" w:cs="Times New Roman"/>
        </w:rPr>
        <w:t>S_\lambda, W</w:t>
      </w:r>
      <w:proofErr w:type="gramStart"/>
      <w:r w:rsidRPr="00504D71">
        <w:rPr>
          <w:rFonts w:ascii="Times New Roman" w:hAnsi="Times New Roman" w:cs="Times New Roman"/>
        </w:rPr>
        <w:t>)}$</w:t>
      </w:r>
      <w:proofErr w:type="gramEnd"/>
      <w:r w:rsidRPr="00504D71">
        <w:rPr>
          <w:rFonts w:ascii="Times New Roman" w:hAnsi="Times New Roman" w:cs="Times New Roman"/>
        </w:rPr>
        <w:t>$</w:t>
      </w:r>
    </w:p>
    <w:p w14:paraId="37B1006C"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where $\overline{d</w:t>
      </w:r>
      <w:proofErr w:type="gramStart"/>
      <w:r w:rsidRPr="00504D71">
        <w:rPr>
          <w:rFonts w:ascii="Times New Roman" w:hAnsi="Times New Roman" w:cs="Times New Roman"/>
        </w:rPr>
        <w:t>}(</w:t>
      </w:r>
      <w:proofErr w:type="gramEnd"/>
      <w:r w:rsidRPr="00504D71">
        <w:rPr>
          <w:rFonts w:ascii="Times New Roman" w:hAnsi="Times New Roman" w:cs="Times New Roman"/>
        </w:rPr>
        <w:t xml:space="preserve">C, </w:t>
      </w:r>
      <w:proofErr w:type="gramStart"/>
      <w:r w:rsidRPr="00504D71">
        <w:rPr>
          <w:rFonts w:ascii="Times New Roman" w:hAnsi="Times New Roman" w:cs="Times New Roman"/>
        </w:rPr>
        <w:t>W)$</w:t>
      </w:r>
      <w:proofErr w:type="gramEnd"/>
      <w:r w:rsidRPr="00504D71">
        <w:rPr>
          <w:rFonts w:ascii="Times New Roman" w:hAnsi="Times New Roman" w:cs="Times New Roman"/>
        </w:rPr>
        <w:t xml:space="preserve"> is the distance in CIE </w:t>
      </w:r>
      <w:proofErr w:type="spellStart"/>
      <w:r w:rsidRPr="00504D71">
        <w:rPr>
          <w:rFonts w:ascii="Times New Roman" w:hAnsi="Times New Roman" w:cs="Times New Roman"/>
        </w:rPr>
        <w:t>xy</w:t>
      </w:r>
      <w:proofErr w:type="spellEnd"/>
      <w:r w:rsidRPr="00504D71">
        <w:rPr>
          <w:rFonts w:ascii="Times New Roman" w:hAnsi="Times New Roman" w:cs="Times New Roman"/>
        </w:rPr>
        <w:t xml:space="preserve"> space from the white point $W$ to the sample chromaticity $C$, and $\overline{d</w:t>
      </w:r>
      <w:proofErr w:type="gramStart"/>
      <w:r w:rsidRPr="00504D71">
        <w:rPr>
          <w:rFonts w:ascii="Times New Roman" w:hAnsi="Times New Roman" w:cs="Times New Roman"/>
        </w:rPr>
        <w:t>}(</w:t>
      </w:r>
      <w:proofErr w:type="gramEnd"/>
      <w:r w:rsidRPr="00504D71">
        <w:rPr>
          <w:rFonts w:ascii="Times New Roman" w:hAnsi="Times New Roman" w:cs="Times New Roman"/>
        </w:rPr>
        <w:t xml:space="preserve">S_\lambda, </w:t>
      </w:r>
      <w:proofErr w:type="gramStart"/>
      <w:r w:rsidRPr="00504D71">
        <w:rPr>
          <w:rFonts w:ascii="Times New Roman" w:hAnsi="Times New Roman" w:cs="Times New Roman"/>
        </w:rPr>
        <w:t>W)$</w:t>
      </w:r>
      <w:proofErr w:type="gramEnd"/>
      <w:r w:rsidRPr="00504D71">
        <w:rPr>
          <w:rFonts w:ascii="Times New Roman" w:hAnsi="Times New Roman" w:cs="Times New Roman"/>
        </w:rPr>
        <w:t xml:space="preserve"> is the distance from $W$ to the monochromatic spectral locus $S_\lambda$ at the dominant wavelength [12]. This quantity approaches unity only for emission linewidths approaching those of monochromatic light. Understanding </w:t>
      </w:r>
      <w:r w:rsidRPr="00504D71">
        <w:rPr>
          <w:rFonts w:ascii="Times New Roman" w:hAnsi="Times New Roman" w:cs="Times New Roman"/>
          <w:i/>
          <w:iCs/>
        </w:rPr>
        <w:t>why</w:t>
      </w:r>
      <w:r w:rsidRPr="00504D71">
        <w:rPr>
          <w:rFonts w:ascii="Times New Roman" w:hAnsi="Times New Roman" w:cs="Times New Roman"/>
        </w:rPr>
        <w:t xml:space="preserve"> a material produces a broad or narrow emission spectrum requires descending from the device level to the electronic structure of the emissive state.</w:t>
      </w:r>
    </w:p>
    <w:p w14:paraId="1C69F884"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In a conventional inorganic semiconductor, the emissive transition is a band-to-band recombination between delocalized Bloch states in the conduction and valence bands. The emission linewidth is governed by the thermal distribution of carriers within these bands and by electron-phonon coupling — the degree to which a change in the electronic charge distribution upon photon emission distorts the surrounding crystal lattice [13]. This distortion, quantified by the Huang-Rhys factor $S$:</w:t>
      </w:r>
    </w:p>
    <w:p w14:paraId="286FAC28"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$$S = \frac{E_{\</w:t>
      </w:r>
      <w:proofErr w:type="gramStart"/>
      <w:r w:rsidRPr="00504D71">
        <w:rPr>
          <w:rFonts w:ascii="Times New Roman" w:hAnsi="Times New Roman" w:cs="Times New Roman"/>
        </w:rPr>
        <w:t>text{</w:t>
      </w:r>
      <w:proofErr w:type="gramEnd"/>
      <w:r w:rsidRPr="00504D71">
        <w:rPr>
          <w:rFonts w:ascii="Times New Roman" w:hAnsi="Times New Roman" w:cs="Times New Roman"/>
        </w:rPr>
        <w:t>Stokes}</w:t>
      </w:r>
      <w:proofErr w:type="gramStart"/>
      <w:r w:rsidRPr="00504D71">
        <w:rPr>
          <w:rFonts w:ascii="Times New Roman" w:hAnsi="Times New Roman" w:cs="Times New Roman"/>
        </w:rPr>
        <w:t>}}{</w:t>
      </w:r>
      <w:proofErr w:type="gramEnd"/>
      <w:r w:rsidRPr="00504D71">
        <w:rPr>
          <w:rFonts w:ascii="Times New Roman" w:hAnsi="Times New Roman" w:cs="Times New Roman"/>
        </w:rPr>
        <w:t>2\</w:t>
      </w:r>
      <w:proofErr w:type="spellStart"/>
      <w:r w:rsidRPr="00504D71">
        <w:rPr>
          <w:rFonts w:ascii="Times New Roman" w:hAnsi="Times New Roman" w:cs="Times New Roman"/>
        </w:rPr>
        <w:t>hbar</w:t>
      </w:r>
      <w:proofErr w:type="spellEnd"/>
      <w:r w:rsidRPr="00504D71">
        <w:rPr>
          <w:rFonts w:ascii="Times New Roman" w:hAnsi="Times New Roman" w:cs="Times New Roman"/>
        </w:rPr>
        <w:t>\omega_{\text{phonon}</w:t>
      </w:r>
      <w:proofErr w:type="gramStart"/>
      <w:r w:rsidRPr="00504D71">
        <w:rPr>
          <w:rFonts w:ascii="Times New Roman" w:hAnsi="Times New Roman" w:cs="Times New Roman"/>
        </w:rPr>
        <w:t>}}$</w:t>
      </w:r>
      <w:proofErr w:type="gramEnd"/>
      <w:r w:rsidRPr="00504D71">
        <w:rPr>
          <w:rFonts w:ascii="Times New Roman" w:hAnsi="Times New Roman" w:cs="Times New Roman"/>
        </w:rPr>
        <w:t>$</w:t>
      </w:r>
    </w:p>
    <w:p w14:paraId="5F2C49F4"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where $E_{\</w:t>
      </w:r>
      <w:proofErr w:type="gramStart"/>
      <w:r w:rsidRPr="00504D71">
        <w:rPr>
          <w:rFonts w:ascii="Times New Roman" w:hAnsi="Times New Roman" w:cs="Times New Roman"/>
        </w:rPr>
        <w:t>text{</w:t>
      </w:r>
      <w:proofErr w:type="gramEnd"/>
      <w:r w:rsidRPr="00504D71">
        <w:rPr>
          <w:rFonts w:ascii="Times New Roman" w:hAnsi="Times New Roman" w:cs="Times New Roman"/>
        </w:rPr>
        <w:t>Stokes</w:t>
      </w:r>
      <w:proofErr w:type="gramStart"/>
      <w:r w:rsidRPr="00504D71">
        <w:rPr>
          <w:rFonts w:ascii="Times New Roman" w:hAnsi="Times New Roman" w:cs="Times New Roman"/>
        </w:rPr>
        <w:t>}}$</w:t>
      </w:r>
      <w:proofErr w:type="gramEnd"/>
      <w:r w:rsidRPr="00504D71">
        <w:rPr>
          <w:rFonts w:ascii="Times New Roman" w:hAnsi="Times New Roman" w:cs="Times New Roman"/>
        </w:rPr>
        <w:t xml:space="preserve"> is the Stokes shift (the energy difference between absorption and emission maxima) and $\</w:t>
      </w:r>
      <w:proofErr w:type="spellStart"/>
      <w:r w:rsidRPr="00504D71">
        <w:rPr>
          <w:rFonts w:ascii="Times New Roman" w:hAnsi="Times New Roman" w:cs="Times New Roman"/>
        </w:rPr>
        <w:t>hbar</w:t>
      </w:r>
      <w:proofErr w:type="spellEnd"/>
      <w:r w:rsidRPr="00504D71">
        <w:rPr>
          <w:rFonts w:ascii="Times New Roman" w:hAnsi="Times New Roman" w:cs="Times New Roman"/>
        </w:rPr>
        <w:t>\omega_{\text{phonon</w:t>
      </w:r>
      <w:proofErr w:type="gramStart"/>
      <w:r w:rsidRPr="00504D71">
        <w:rPr>
          <w:rFonts w:ascii="Times New Roman" w:hAnsi="Times New Roman" w:cs="Times New Roman"/>
        </w:rPr>
        <w:t>}}$</w:t>
      </w:r>
      <w:proofErr w:type="gramEnd"/>
      <w:r w:rsidRPr="00504D71">
        <w:rPr>
          <w:rFonts w:ascii="Times New Roman" w:hAnsi="Times New Roman" w:cs="Times New Roman"/>
        </w:rPr>
        <w:t xml:space="preserve"> is the characteristic phonon energy, parametrizes the degree of lattice relaxation in the excited state [14]. A material with $S \</w:t>
      </w:r>
      <w:proofErr w:type="spellStart"/>
      <w:r w:rsidRPr="00504D71">
        <w:rPr>
          <w:rFonts w:ascii="Times New Roman" w:hAnsi="Times New Roman" w:cs="Times New Roman"/>
        </w:rPr>
        <w:t>ll</w:t>
      </w:r>
      <w:proofErr w:type="spellEnd"/>
      <w:r w:rsidRPr="00504D71">
        <w:rPr>
          <w:rFonts w:ascii="Times New Roman" w:hAnsi="Times New Roman" w:cs="Times New Roman"/>
        </w:rPr>
        <w:t xml:space="preserve"> 1$ exhibits weak electron-phonon coupling: its excited-state geometry closely resembles its ground-state geometry, the emitted photon carries nearly the full electronic excitation energy, and the emission </w:t>
      </w:r>
      <w:proofErr w:type="spellStart"/>
      <w:r w:rsidRPr="00504D71">
        <w:rPr>
          <w:rFonts w:ascii="Times New Roman" w:hAnsi="Times New Roman" w:cs="Times New Roman"/>
        </w:rPr>
        <w:t>lineshape</w:t>
      </w:r>
      <w:proofErr w:type="spellEnd"/>
      <w:r w:rsidRPr="00504D71">
        <w:rPr>
          <w:rFonts w:ascii="Times New Roman" w:hAnsi="Times New Roman" w:cs="Times New Roman"/>
        </w:rPr>
        <w:t xml:space="preserve"> is narrow and Lorentzian. A material with $S \gg 1$ — as is the case for many organic chromophores and self-trapped exciton systems — undergoes substantial lattice reorganization upon excitation, producing broad, Stokes-shifted emission that is thermodynamically irreversible in the phonon bath.</w:t>
      </w:r>
    </w:p>
    <w:p w14:paraId="411E0429"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Narrow emission linewidths are therefore not a design choice but a consequence of the underlying electronic structure and lattice dynamics. This is precisely why the discovery of near-unity PLQY with FWHM values of 17–25 nm in colloidal </w:t>
      </w:r>
      <w:proofErr w:type="spellStart"/>
      <w:r w:rsidRPr="00504D71">
        <w:rPr>
          <w:rFonts w:ascii="Times New Roman" w:hAnsi="Times New Roman" w:cs="Times New Roman"/>
        </w:rPr>
        <w:t>cesium</w:t>
      </w:r>
      <w:proofErr w:type="spellEnd"/>
      <w:r w:rsidRPr="00504D71">
        <w:rPr>
          <w:rFonts w:ascii="Times New Roman" w:hAnsi="Times New Roman" w:cs="Times New Roman"/>
        </w:rPr>
        <w:t xml:space="preserve"> lead bromide (</w:t>
      </w:r>
      <w:proofErr w:type="spellStart"/>
      <w:r w:rsidRPr="00504D71">
        <w:rPr>
          <w:rFonts w:ascii="Times New Roman" w:hAnsi="Times New Roman" w:cs="Times New Roman"/>
        </w:rPr>
        <w:t>CsPbBr</w:t>
      </w:r>
      <w:proofErr w:type="spellEnd"/>
      <w:r w:rsidRPr="00504D71">
        <w:rPr>
          <w:rFonts w:ascii="Times New Roman" w:hAnsi="Times New Roman" w:cs="Times New Roman"/>
        </w:rPr>
        <w:t xml:space="preserve">₃) nanocrystals [15] constituted a qualitative departure from the established landscape: here was </w:t>
      </w:r>
      <w:r w:rsidRPr="00504D71">
        <w:rPr>
          <w:rFonts w:ascii="Times New Roman" w:hAnsi="Times New Roman" w:cs="Times New Roman"/>
        </w:rPr>
        <w:lastRenderedPageBreak/>
        <w:t xml:space="preserve">a solution-processable, earth-abundant emitter whose linewidth approached that of the best epitaxial quantum wells, whose emission </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could be tuned across the entire visible spectrum by halide substitution, and whose synthesis required no vacuum processing or epitaxial substrate. The physical reasons for this exceptional narrowness — weak electron-phonon coupling arising from the rigid corner-sharing octahedral framework, shallow defect tolerance rooted in the antibonding character of the valence band edge, and strong Coulomb binding in the excitonic state — are not coincidental but structurally encoded in the halide perovskite lattice. These mechanisms are developed in detail in Section 1.3; what matters here is the recognition that the performance gap they address is real, quantifiable, and consequential at a civilizational scale.</w:t>
      </w:r>
    </w:p>
    <w:p w14:paraId="37926FAA" w14:textId="77777777" w:rsidR="00504D71" w:rsidRPr="00504D71" w:rsidRDefault="00504D71" w:rsidP="00504D71">
      <w:pPr>
        <w:spacing w:line="360" w:lineRule="auto"/>
        <w:jc w:val="both"/>
        <w:rPr>
          <w:rFonts w:ascii="Times New Roman" w:hAnsi="Times New Roman" w:cs="Times New Roman"/>
          <w:b/>
          <w:bCs/>
        </w:rPr>
      </w:pPr>
      <w:r w:rsidRPr="00504D71">
        <w:rPr>
          <w:rFonts w:ascii="Times New Roman" w:hAnsi="Times New Roman" w:cs="Times New Roman"/>
          <w:b/>
          <w:bCs/>
        </w:rPr>
        <w:t>1.1.3 The Scale Argument: From Device Physics to Global Energy Policy</w:t>
      </w:r>
    </w:p>
    <w:p w14:paraId="07D28D46"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The transition from incandescent and fluorescent technologies to solid-state lighting based on LEDs represents the largest voluntary technology adoption in the history of artificial illumination, driven primarily by economic rather than regulatory incentive: a high-efficiency LED luminaire consuming 10 W to produce 1000 lumens displaces a 60 W incandescent bulb performing the same function, reducing energy consumption by 83% at the task level [16]. The International Energy Agency estimates that a complete global transition to LED-based general illumination could reduce worldwide electricity consumption for lighting by approximately 1,400 TWh per year — equivalent to the total electricity generation of Japan [2]. This is not a projected future benefit; it is an ongoing transition with quantifiable momentum, and its ceiling is determined by the physical efficiency limits of the emissive materials at its core.</w:t>
      </w:r>
    </w:p>
    <w:p w14:paraId="338278F8"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Display technology presents a less tractable version of the same imperative. Unlike lighting, where the luminous flux requirement is fixed by the task (illuminating a room to 500 lux, for instance), display brightness requirements are escalating: high dynamic range (HDR) standards now specify peak </w:t>
      </w:r>
      <w:proofErr w:type="spellStart"/>
      <w:r w:rsidRPr="00504D71">
        <w:rPr>
          <w:rFonts w:ascii="Times New Roman" w:hAnsi="Times New Roman" w:cs="Times New Roman"/>
        </w:rPr>
        <w:t>luminances</w:t>
      </w:r>
      <w:proofErr w:type="spellEnd"/>
      <w:r w:rsidRPr="00504D71">
        <w:rPr>
          <w:rFonts w:ascii="Times New Roman" w:hAnsi="Times New Roman" w:cs="Times New Roman"/>
        </w:rPr>
        <w:t xml:space="preserve"> of 1000–10,000 cd/m², compared to 300–400 cd/m² for standard dynamic range panels, driven by consumer expectations for content that perceptually replicates real-world scenes [17]. The power consumption of a 65-inch HDR television operating at 1000 cd/m² with a conventional LCD architecture can exceed 300 W — more than a refrigerator. Quantum dot enhancement films, which narrow the backlight spectrum and increase </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gamut while improving the efficiency of the </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filter step, are already deployed commercially (e.g., Samsung QLED, Sony </w:t>
      </w:r>
      <w:proofErr w:type="spellStart"/>
      <w:r w:rsidRPr="00504D71">
        <w:rPr>
          <w:rFonts w:ascii="Times New Roman" w:hAnsi="Times New Roman" w:cs="Times New Roman"/>
        </w:rPr>
        <w:t>Triluminos</w:t>
      </w:r>
      <w:proofErr w:type="spellEnd"/>
      <w:r w:rsidRPr="00504D71">
        <w:rPr>
          <w:rFonts w:ascii="Times New Roman" w:hAnsi="Times New Roman" w:cs="Times New Roman"/>
        </w:rPr>
        <w:t xml:space="preserve">) and represent an intermediate step toward full quantum dot electroluminescence [18]. The material challenge they partially solve </w:t>
      </w:r>
      <w:r w:rsidRPr="00504D71">
        <w:rPr>
          <w:rFonts w:ascii="Times New Roman" w:hAnsi="Times New Roman" w:cs="Times New Roman"/>
        </w:rPr>
        <w:lastRenderedPageBreak/>
        <w:t xml:space="preserve">— spectral narrowness, </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tunability, high PLQY — is precisely the challenge that low-dimensional perovskites address from a different structural and synthetic direction.</w:t>
      </w:r>
    </w:p>
    <w:p w14:paraId="2F6780F6" w14:textId="77777777" w:rsidR="00504D71" w:rsidRPr="00504D71" w:rsidRDefault="00504D71" w:rsidP="00504D71">
      <w:pPr>
        <w:spacing w:line="360" w:lineRule="auto"/>
        <w:jc w:val="both"/>
        <w:rPr>
          <w:rFonts w:ascii="Times New Roman" w:hAnsi="Times New Roman" w:cs="Times New Roman"/>
          <w:b/>
          <w:bCs/>
        </w:rPr>
      </w:pPr>
      <w:r w:rsidRPr="00504D71">
        <w:rPr>
          <w:rFonts w:ascii="Times New Roman" w:hAnsi="Times New Roman" w:cs="Times New Roman"/>
          <w:b/>
          <w:bCs/>
        </w:rPr>
        <w:t>[FIGURE PLACEHOLDER: Thesis Section 1.1 — Global Lighting Energy Consumption and Technology Transition Roadmap]</w:t>
      </w:r>
    </w:p>
    <w:p w14:paraId="30CB200E" w14:textId="77777777" w:rsidR="00504D71" w:rsidRPr="00504D71" w:rsidRDefault="00504D71" w:rsidP="00504D71">
      <w:pPr>
        <w:numPr>
          <w:ilvl w:val="0"/>
          <w:numId w:val="2"/>
        </w:numPr>
        <w:spacing w:line="360" w:lineRule="auto"/>
        <w:jc w:val="both"/>
        <w:rPr>
          <w:rFonts w:ascii="Times New Roman" w:hAnsi="Times New Roman" w:cs="Times New Roman"/>
        </w:rPr>
      </w:pPr>
      <w:r w:rsidRPr="00504D71">
        <w:rPr>
          <w:rFonts w:ascii="Times New Roman" w:hAnsi="Times New Roman" w:cs="Times New Roman"/>
          <w:b/>
          <w:bCs/>
        </w:rPr>
        <w:t>Exact Source Paper:</w:t>
      </w:r>
      <w:r w:rsidRPr="00504D71">
        <w:rPr>
          <w:rFonts w:ascii="Times New Roman" w:hAnsi="Times New Roman" w:cs="Times New Roman"/>
        </w:rPr>
        <w:t xml:space="preserve"> Tsao, J.Y. et al., "Solid-State Lighting: An Integrated Human Factors, Technology, and Economic Perspective," </w:t>
      </w:r>
      <w:r w:rsidRPr="00504D71">
        <w:rPr>
          <w:rFonts w:ascii="Times New Roman" w:hAnsi="Times New Roman" w:cs="Times New Roman"/>
          <w:i/>
          <w:iCs/>
        </w:rPr>
        <w:t>Proceedings of the IEEE</w:t>
      </w:r>
      <w:r w:rsidRPr="00504D71">
        <w:rPr>
          <w:rFonts w:ascii="Times New Roman" w:hAnsi="Times New Roman" w:cs="Times New Roman"/>
        </w:rPr>
        <w:t xml:space="preserve">, 2010, Vol. 98, Issue 7, pp. 1162–1179. </w:t>
      </w:r>
      <w:r w:rsidRPr="00504D71">
        <w:rPr>
          <w:rFonts w:ascii="Times New Roman" w:hAnsi="Times New Roman" w:cs="Times New Roman"/>
          <w:b/>
          <w:bCs/>
        </w:rPr>
        <w:t>Figure 2</w:t>
      </w:r>
      <w:r w:rsidRPr="00504D71">
        <w:rPr>
          <w:rFonts w:ascii="Times New Roman" w:hAnsi="Times New Roman" w:cs="Times New Roman"/>
        </w:rPr>
        <w:t>.</w:t>
      </w:r>
    </w:p>
    <w:p w14:paraId="7B9985E2" w14:textId="77777777" w:rsidR="00504D71" w:rsidRPr="00504D71" w:rsidRDefault="00504D71" w:rsidP="00504D71">
      <w:pPr>
        <w:numPr>
          <w:ilvl w:val="0"/>
          <w:numId w:val="2"/>
        </w:numPr>
        <w:spacing w:line="360" w:lineRule="auto"/>
        <w:jc w:val="both"/>
        <w:rPr>
          <w:rFonts w:ascii="Times New Roman" w:hAnsi="Times New Roman" w:cs="Times New Roman"/>
        </w:rPr>
      </w:pPr>
      <w:r w:rsidRPr="00504D71">
        <w:rPr>
          <w:rFonts w:ascii="Times New Roman" w:hAnsi="Times New Roman" w:cs="Times New Roman"/>
          <w:b/>
          <w:bCs/>
        </w:rPr>
        <w:t>Direct Access URL/DOI:</w:t>
      </w:r>
      <w:r w:rsidRPr="00504D71">
        <w:rPr>
          <w:rFonts w:ascii="Times New Roman" w:hAnsi="Times New Roman" w:cs="Times New Roman"/>
        </w:rPr>
        <w:t xml:space="preserve"> https://doi.org/10.1109/JPROC.2010.2044600</w:t>
      </w:r>
    </w:p>
    <w:p w14:paraId="4BB23646" w14:textId="77777777" w:rsidR="00504D71" w:rsidRPr="00504D71" w:rsidRDefault="00504D71" w:rsidP="00504D71">
      <w:pPr>
        <w:numPr>
          <w:ilvl w:val="0"/>
          <w:numId w:val="2"/>
        </w:numPr>
        <w:spacing w:line="360" w:lineRule="auto"/>
        <w:jc w:val="both"/>
        <w:rPr>
          <w:rFonts w:ascii="Times New Roman" w:hAnsi="Times New Roman" w:cs="Times New Roman"/>
        </w:rPr>
      </w:pPr>
      <w:r w:rsidRPr="00504D71">
        <w:rPr>
          <w:rFonts w:ascii="Times New Roman" w:hAnsi="Times New Roman" w:cs="Times New Roman"/>
          <w:b/>
          <w:bCs/>
        </w:rPr>
        <w:t>Reviewer-Level Pedagogical Caption:</w:t>
      </w:r>
      <w:r w:rsidRPr="00504D71">
        <w:rPr>
          <w:rFonts w:ascii="Times New Roman" w:hAnsi="Times New Roman" w:cs="Times New Roman"/>
        </w:rPr>
        <w:t xml:space="preserve"> Figure 2 illustrates the historical trajectory of luminous efficacy (</w:t>
      </w:r>
      <w:proofErr w:type="spellStart"/>
      <w:r w:rsidRPr="00504D71">
        <w:rPr>
          <w:rFonts w:ascii="Times New Roman" w:hAnsi="Times New Roman" w:cs="Times New Roman"/>
        </w:rPr>
        <w:t>lm</w:t>
      </w:r>
      <w:proofErr w:type="spellEnd"/>
      <w:r w:rsidRPr="00504D71">
        <w:rPr>
          <w:rFonts w:ascii="Times New Roman" w:hAnsi="Times New Roman" w:cs="Times New Roman"/>
        </w:rPr>
        <w:t>/W) for major artificial lighting technologies from 1900 to 2010, overlaid with theoretical efficiency limits for each technology class. The steep efficiency plateau of incandescent technology (</w:t>
      </w:r>
      <w:proofErr w:type="spellStart"/>
      <w:r w:rsidRPr="00504D71">
        <w:rPr>
          <w:rFonts w:ascii="Times New Roman" w:hAnsi="Times New Roman" w:cs="Times New Roman"/>
        </w:rPr>
        <w:t>asymptoting</w:t>
      </w:r>
      <w:proofErr w:type="spellEnd"/>
      <w:r w:rsidRPr="00504D71">
        <w:rPr>
          <w:rFonts w:ascii="Times New Roman" w:hAnsi="Times New Roman" w:cs="Times New Roman"/>
        </w:rPr>
        <w:t xml:space="preserve"> near 20 </w:t>
      </w:r>
      <w:proofErr w:type="spellStart"/>
      <w:r w:rsidRPr="00504D71">
        <w:rPr>
          <w:rFonts w:ascii="Times New Roman" w:hAnsi="Times New Roman" w:cs="Times New Roman"/>
        </w:rPr>
        <w:t>lm</w:t>
      </w:r>
      <w:proofErr w:type="spellEnd"/>
      <w:r w:rsidRPr="00504D71">
        <w:rPr>
          <w:rFonts w:ascii="Times New Roman" w:hAnsi="Times New Roman" w:cs="Times New Roman"/>
        </w:rPr>
        <w:t xml:space="preserve">/W against a blackbody theoretical limit of ~95 </w:t>
      </w:r>
      <w:proofErr w:type="spellStart"/>
      <w:r w:rsidRPr="00504D71">
        <w:rPr>
          <w:rFonts w:ascii="Times New Roman" w:hAnsi="Times New Roman" w:cs="Times New Roman"/>
        </w:rPr>
        <w:t>lm</w:t>
      </w:r>
      <w:proofErr w:type="spellEnd"/>
      <w:r w:rsidRPr="00504D71">
        <w:rPr>
          <w:rFonts w:ascii="Times New Roman" w:hAnsi="Times New Roman" w:cs="Times New Roman"/>
        </w:rPr>
        <w:t xml:space="preserve">/W for visible-range emission) is contrasted with the rising trajectory of solid-state LED sources, which had reached ~150 </w:t>
      </w:r>
      <w:proofErr w:type="spellStart"/>
      <w:r w:rsidRPr="00504D71">
        <w:rPr>
          <w:rFonts w:ascii="Times New Roman" w:hAnsi="Times New Roman" w:cs="Times New Roman"/>
        </w:rPr>
        <w:t>lm</w:t>
      </w:r>
      <w:proofErr w:type="spellEnd"/>
      <w:r w:rsidRPr="00504D71">
        <w:rPr>
          <w:rFonts w:ascii="Times New Roman" w:hAnsi="Times New Roman" w:cs="Times New Roman"/>
        </w:rPr>
        <w:t xml:space="preserve">/W in laboratory demonstrations by 2010 against a theoretical limit exceeding 300 </w:t>
      </w:r>
      <w:proofErr w:type="spellStart"/>
      <w:r w:rsidRPr="00504D71">
        <w:rPr>
          <w:rFonts w:ascii="Times New Roman" w:hAnsi="Times New Roman" w:cs="Times New Roman"/>
        </w:rPr>
        <w:t>lm</w:t>
      </w:r>
      <w:proofErr w:type="spellEnd"/>
      <w:r w:rsidRPr="00504D71">
        <w:rPr>
          <w:rFonts w:ascii="Times New Roman" w:hAnsi="Times New Roman" w:cs="Times New Roman"/>
        </w:rPr>
        <w:t>/W. The figure pedagogically grounds the reader in the long historical arc of illumination efficiency and establishes the quantitative headroom that remains between current commercial performance and the thermodynamic ceiling — a headroom that can only be accessed through advances in emissive material quality, particularly PLQY and spectral purity.</w:t>
      </w:r>
    </w:p>
    <w:p w14:paraId="0ED8E8FC" w14:textId="77777777" w:rsidR="00504D71" w:rsidRPr="00504D71" w:rsidRDefault="00504D71" w:rsidP="00504D71">
      <w:pPr>
        <w:spacing w:line="360" w:lineRule="auto"/>
        <w:jc w:val="both"/>
        <w:rPr>
          <w:rFonts w:ascii="Times New Roman" w:hAnsi="Times New Roman" w:cs="Times New Roman"/>
          <w:b/>
          <w:bCs/>
        </w:rPr>
      </w:pPr>
      <w:r w:rsidRPr="00504D71">
        <w:rPr>
          <w:rFonts w:ascii="Times New Roman" w:hAnsi="Times New Roman" w:cs="Times New Roman"/>
          <w:b/>
          <w:bCs/>
        </w:rPr>
        <w:t>1.1.4 The Deep-Blue Gap: An Unresolved Materials Problem</w:t>
      </w:r>
    </w:p>
    <w:p w14:paraId="326EBEF3"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Among the primary </w:t>
      </w:r>
      <w:proofErr w:type="spellStart"/>
      <w:r w:rsidRPr="00504D71">
        <w:rPr>
          <w:rFonts w:ascii="Times New Roman" w:hAnsi="Times New Roman" w:cs="Times New Roman"/>
        </w:rPr>
        <w:t>colors</w:t>
      </w:r>
      <w:proofErr w:type="spellEnd"/>
      <w:r w:rsidRPr="00504D71">
        <w:rPr>
          <w:rFonts w:ascii="Times New Roman" w:hAnsi="Times New Roman" w:cs="Times New Roman"/>
        </w:rPr>
        <w:t xml:space="preserve"> required for white-light generation and full-</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display, blue occupies a uniquely problematic position — not because its physics are more complex in principle, but because the combination of requirements it imposes on an emissive material is unusually demanding. Blue photons carry energies in the range of 2.6–3.1 eV (400–480 nm); generating them efficiently requires a material with a sufficiently wide bandgap that the emissive transition lies in this energy range, and with a radiative rate fast enough to outcompete non-radiative recombination at those high energies [19]. The challenge is thermodynamic: non-radiative recombination rates generally scale with decreasing bandgap energy through the </w:t>
      </w:r>
      <w:r w:rsidRPr="00504D71">
        <w:rPr>
          <w:rFonts w:ascii="Times New Roman" w:hAnsi="Times New Roman" w:cs="Times New Roman"/>
          <w:i/>
          <w:iCs/>
        </w:rPr>
        <w:t>energy gap law</w:t>
      </w:r>
      <w:r w:rsidRPr="00504D71">
        <w:rPr>
          <w:rFonts w:ascii="Times New Roman" w:hAnsi="Times New Roman" w:cs="Times New Roman"/>
        </w:rPr>
        <w:t>:</w:t>
      </w:r>
    </w:p>
    <w:p w14:paraId="5DA03AFB"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$$k_{\text{nr}} \</w:t>
      </w:r>
      <w:proofErr w:type="spellStart"/>
      <w:r w:rsidRPr="00504D71">
        <w:rPr>
          <w:rFonts w:ascii="Times New Roman" w:hAnsi="Times New Roman" w:cs="Times New Roman"/>
        </w:rPr>
        <w:t>propto</w:t>
      </w:r>
      <w:proofErr w:type="spellEnd"/>
      <w:r w:rsidRPr="00504D71">
        <w:rPr>
          <w:rFonts w:ascii="Times New Roman" w:hAnsi="Times New Roman" w:cs="Times New Roman"/>
        </w:rPr>
        <w:t xml:space="preserve"> \</w:t>
      </w:r>
      <w:proofErr w:type="gramStart"/>
      <w:r w:rsidRPr="00504D71">
        <w:rPr>
          <w:rFonts w:ascii="Times New Roman" w:hAnsi="Times New Roman" w:cs="Times New Roman"/>
        </w:rPr>
        <w:t>exp!\left(</w:t>
      </w:r>
      <w:proofErr w:type="gramEnd"/>
      <w:r w:rsidRPr="00504D71">
        <w:rPr>
          <w:rFonts w:ascii="Times New Roman" w:hAnsi="Times New Roman" w:cs="Times New Roman"/>
        </w:rPr>
        <w:t>-\</w:t>
      </w:r>
      <w:proofErr w:type="gramStart"/>
      <w:r w:rsidRPr="00504D71">
        <w:rPr>
          <w:rFonts w:ascii="Times New Roman" w:hAnsi="Times New Roman" w:cs="Times New Roman"/>
        </w:rPr>
        <w:t>alpha ,</w:t>
      </w:r>
      <w:proofErr w:type="gramEnd"/>
      <w:r w:rsidRPr="00504D71">
        <w:rPr>
          <w:rFonts w:ascii="Times New Roman" w:hAnsi="Times New Roman" w:cs="Times New Roman"/>
        </w:rPr>
        <w:t xml:space="preserve"> </w:t>
      </w:r>
      <w:proofErr w:type="spellStart"/>
      <w:r w:rsidRPr="00504D71">
        <w:rPr>
          <w:rFonts w:ascii="Times New Roman" w:hAnsi="Times New Roman" w:cs="Times New Roman"/>
        </w:rPr>
        <w:t>E_g</w:t>
      </w:r>
      <w:proofErr w:type="spellEnd"/>
      <w:r w:rsidRPr="00504D71">
        <w:rPr>
          <w:rFonts w:ascii="Times New Roman" w:hAnsi="Times New Roman" w:cs="Times New Roman"/>
        </w:rPr>
        <w:t>\</w:t>
      </w:r>
      <w:proofErr w:type="gramStart"/>
      <w:r w:rsidRPr="00504D71">
        <w:rPr>
          <w:rFonts w:ascii="Times New Roman" w:hAnsi="Times New Roman" w:cs="Times New Roman"/>
        </w:rPr>
        <w:t>right)$</w:t>
      </w:r>
      <w:proofErr w:type="gramEnd"/>
      <w:r w:rsidRPr="00504D71">
        <w:rPr>
          <w:rFonts w:ascii="Times New Roman" w:hAnsi="Times New Roman" w:cs="Times New Roman"/>
        </w:rPr>
        <w:t>$</w:t>
      </w:r>
    </w:p>
    <w:p w14:paraId="67038CB1"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lastRenderedPageBreak/>
        <w:t>where $k_{\text{nr</w:t>
      </w:r>
      <w:proofErr w:type="gramStart"/>
      <w:r w:rsidRPr="00504D71">
        <w:rPr>
          <w:rFonts w:ascii="Times New Roman" w:hAnsi="Times New Roman" w:cs="Times New Roman"/>
        </w:rPr>
        <w:t>}}$</w:t>
      </w:r>
      <w:proofErr w:type="gramEnd"/>
      <w:r w:rsidRPr="00504D71">
        <w:rPr>
          <w:rFonts w:ascii="Times New Roman" w:hAnsi="Times New Roman" w:cs="Times New Roman"/>
        </w:rPr>
        <w:t xml:space="preserve"> is the non-radiative decay rate and $\alpha$ is a material-specific constant governed by the vibrational overlap between ground and excited state wavefunctions [20]. For blue emitters, larger $</w:t>
      </w:r>
      <w:proofErr w:type="spellStart"/>
      <w:r w:rsidRPr="00504D71">
        <w:rPr>
          <w:rFonts w:ascii="Times New Roman" w:hAnsi="Times New Roman" w:cs="Times New Roman"/>
        </w:rPr>
        <w:t>E_g</w:t>
      </w:r>
      <w:proofErr w:type="spellEnd"/>
      <w:r w:rsidRPr="00504D71">
        <w:rPr>
          <w:rFonts w:ascii="Times New Roman" w:hAnsi="Times New Roman" w:cs="Times New Roman"/>
        </w:rPr>
        <w:t>$ means smaller $k_{\text{nr</w:t>
      </w:r>
      <w:proofErr w:type="gramStart"/>
      <w:r w:rsidRPr="00504D71">
        <w:rPr>
          <w:rFonts w:ascii="Times New Roman" w:hAnsi="Times New Roman" w:cs="Times New Roman"/>
        </w:rPr>
        <w:t>}}$</w:t>
      </w:r>
      <w:proofErr w:type="gramEnd"/>
      <w:r w:rsidRPr="00504D71">
        <w:rPr>
          <w:rFonts w:ascii="Times New Roman" w:hAnsi="Times New Roman" w:cs="Times New Roman"/>
        </w:rPr>
        <w:t>, which would seem advantageous — but in practice, wider-bandgap materials also tend to have deeper defect levels, higher exciton binding energies that promote non-radiative Auger recombination, and greater sensitivity to interfacial trap states, counteracting the energy gap law's benefit [21].</w:t>
      </w:r>
    </w:p>
    <w:p w14:paraId="0E395685"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In the halide perovskite system, achieving efficient blue emission by simple halide substitution — replacing Br⁻ with Cl⁻ in </w:t>
      </w:r>
      <w:proofErr w:type="spellStart"/>
      <w:r w:rsidRPr="00504D71">
        <w:rPr>
          <w:rFonts w:ascii="Times New Roman" w:hAnsi="Times New Roman" w:cs="Times New Roman"/>
        </w:rPr>
        <w:t>CsPbBr</w:t>
      </w:r>
      <w:proofErr w:type="spellEnd"/>
      <w:r w:rsidRPr="00504D71">
        <w:rPr>
          <w:rFonts w:ascii="Times New Roman" w:hAnsi="Times New Roman" w:cs="Times New Roman"/>
        </w:rPr>
        <w:t xml:space="preserve">₃ to blue-shift the bandgap — is undermined by halide phase segregation, a phenomenon discovered by Hoke and coworkers [22] in which illumination of mixed-halide perovskites drives compositional </w:t>
      </w:r>
      <w:proofErr w:type="spellStart"/>
      <w:r w:rsidRPr="00504D71">
        <w:rPr>
          <w:rFonts w:ascii="Times New Roman" w:hAnsi="Times New Roman" w:cs="Times New Roman"/>
        </w:rPr>
        <w:t>demixing</w:t>
      </w:r>
      <w:proofErr w:type="spellEnd"/>
      <w:r w:rsidRPr="00504D71">
        <w:rPr>
          <w:rFonts w:ascii="Times New Roman" w:hAnsi="Times New Roman" w:cs="Times New Roman"/>
        </w:rPr>
        <w:t xml:space="preserve"> into Br-rich and Cl-rich domains, concentrating emission at the lower-energy Br-rich phase and extinguishing the blue signal. This photoinduced segregation, driven by the free energy of carrier localization in compositional fluctuations, represents a fundamental thermodynamic instability of the mixed-halide solid solution under photoexcitation — not an impurity effect amenable to purification, but a consequence of the size mismatch between Cl⁻ and Br⁻ ions and the soft, polarizable character of the perovskite lattice.</w:t>
      </w:r>
    </w:p>
    <w:p w14:paraId="48B8D53A"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This is where quasi-two-dimensional (quasi-2D) perovskites — layered Ruddlesden-Popper phases with the general formula $\text{L}</w:t>
      </w:r>
      <w:r w:rsidRPr="00504D71">
        <w:rPr>
          <w:rFonts w:ascii="Times New Roman" w:hAnsi="Times New Roman" w:cs="Times New Roman"/>
          <w:i/>
          <w:iCs/>
        </w:rPr>
        <w:t>2\text{A}</w:t>
      </w:r>
      <w:r w:rsidRPr="00504D71">
        <w:rPr>
          <w:rFonts w:ascii="Times New Roman" w:hAnsi="Times New Roman" w:cs="Times New Roman"/>
        </w:rPr>
        <w:t>{n-1}\text{B}</w:t>
      </w:r>
      <w:r w:rsidRPr="00504D71">
        <w:rPr>
          <w:rFonts w:ascii="Times New Roman" w:hAnsi="Times New Roman" w:cs="Times New Roman"/>
          <w:i/>
          <w:iCs/>
        </w:rPr>
        <w:t>n\text{X}</w:t>
      </w:r>
      <w:r w:rsidRPr="00504D71">
        <w:rPr>
          <w:rFonts w:ascii="Times New Roman" w:hAnsi="Times New Roman" w:cs="Times New Roman"/>
        </w:rPr>
        <w:t xml:space="preserve">{3n+1}$, where L is a large organic spacer cation, A is a small monovalent cation, B is a divalent metal, and X is a halide — offer a structurally distinct route to blue emission. By exploiting quantum confinement within the inorganic layer rather than halide substitution to tune the bandgap, quasi-2D perovskites access the blue spectral region while retaining a predominantly bromide composition that resists phase segregation [23]. The physics of this confinement, the self-assembly of mixed-phase distributions, and the energy transfer cascades that govern emission from these systems are elaborated in Section 1.4. What the present section establishes is the macro-level context: the pursuit of deep-blue perovskite emitters, which occupies the central chapter of this thesis, is motivated not by scientific curiosity alone but by the concrete and pressing need for a stable, efficient, </w:t>
      </w:r>
      <w:proofErr w:type="spellStart"/>
      <w:r w:rsidRPr="00504D71">
        <w:rPr>
          <w:rFonts w:ascii="Times New Roman" w:hAnsi="Times New Roman" w:cs="Times New Roman"/>
        </w:rPr>
        <w:t>color</w:t>
      </w:r>
      <w:proofErr w:type="spellEnd"/>
      <w:r w:rsidRPr="00504D71">
        <w:rPr>
          <w:rFonts w:ascii="Times New Roman" w:hAnsi="Times New Roman" w:cs="Times New Roman"/>
        </w:rPr>
        <w:t>-pure blue primary that current technology cannot reliably supply.</w:t>
      </w:r>
    </w:p>
    <w:p w14:paraId="75D8F2A6" w14:textId="77777777" w:rsidR="00504D71" w:rsidRPr="00504D71" w:rsidRDefault="00504D71" w:rsidP="00504D71">
      <w:pPr>
        <w:spacing w:line="360" w:lineRule="auto"/>
        <w:jc w:val="both"/>
        <w:rPr>
          <w:rFonts w:ascii="Times New Roman" w:hAnsi="Times New Roman" w:cs="Times New Roman"/>
          <w:b/>
          <w:bCs/>
        </w:rPr>
      </w:pPr>
      <w:r w:rsidRPr="00504D71">
        <w:rPr>
          <w:rFonts w:ascii="Times New Roman" w:hAnsi="Times New Roman" w:cs="Times New Roman"/>
          <w:b/>
          <w:bCs/>
        </w:rPr>
        <w:t>1.1.5 The Predictive Materials Design Challenge</w:t>
      </w:r>
    </w:p>
    <w:p w14:paraId="1EE1CFAE"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The preceding sections frame the problem in terms of known materials with characterized limitations. The complementary challenge — and the one that motivates the computational </w:t>
      </w:r>
      <w:r w:rsidRPr="00504D71">
        <w:rPr>
          <w:rFonts w:ascii="Times New Roman" w:hAnsi="Times New Roman" w:cs="Times New Roman"/>
        </w:rPr>
        <w:lastRenderedPageBreak/>
        <w:t>chapter of this thesis — is the sheer dimensionality of the design space that quasi-2D perovskites present. The emission energy of a Ruddlesden-Popper phase is a function of the layer number $n$, the identity of the spacer cation L (which determines dielectric confinement, quantum well width, and lattice strain), the B-site metal, the halide composition, and the thermal processing history that governs the phase distribution in mixed-$n$ ensembles [24]. This is a combinatorial space of enormous extent: thousands of organic spacer cations are chemically accessible, each producing a distinct dielectric environment and structural distortion of the inorganic framework, each shifting the emission energy through a combination of quantum confinement, dielectric screening, and strain-induced octahedral tilting.</w:t>
      </w:r>
    </w:p>
    <w:p w14:paraId="57E905F9"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Experimental exploration of this space, at the throughput of conventional synthetic chemistry, is prohibitively slow. A single optimized synthesis and photophysical characterization cycle for a quasi-2D perovskite — including film deposition, steady-state and time-resolved photoluminescence, transient absorption spectroscopy, and structural characterization by X-ray diffraction — requires days to weeks of instrument time per composition. The application of machine learning (ML) to accelerate this search, by training regression models on existing experimental datasets to predict emission energies for untested compositions, is therefore not merely a computational novelty but a practical necessity for rational exploration of the perovskite design space [25]. The construction, validation, and deployment of such predictive models — including the careful selection of physically motivated descriptors, the management of data scarcity, and the interpretation of model predictions in terms of underlying physical mechanisms — form the subject of Chapter 3 of this thesis.</w:t>
      </w:r>
    </w:p>
    <w:p w14:paraId="21971167"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The intellectual arc of this work is therefore coherent and cumulative: starting from the macro-scale imperative for better emissive materials (this section), proceeding through the </w:t>
      </w:r>
      <w:proofErr w:type="spellStart"/>
      <w:r w:rsidRPr="00504D71">
        <w:rPr>
          <w:rFonts w:ascii="Times New Roman" w:hAnsi="Times New Roman" w:cs="Times New Roman"/>
        </w:rPr>
        <w:t>photophysics</w:t>
      </w:r>
      <w:proofErr w:type="spellEnd"/>
      <w:r w:rsidRPr="00504D71">
        <w:rPr>
          <w:rFonts w:ascii="Times New Roman" w:hAnsi="Times New Roman" w:cs="Times New Roman"/>
        </w:rPr>
        <w:t xml:space="preserve"> and surface chemistry of prototype nanocrystalline emitters (Chapter 1 experimental), ascending to the structural complexity of quasi-2D blue emitters (Chapter 2), and finally deploying data-driven predictive tools to navigate the vast composition space that human intuition alone cannot efficiently traverse (Chapter 3). Each chapter is a necessary step in a research program that is simultaneously fundamental in its physics and applied in its ambition — the decipherment of low-dimensional perovskite emission, toward the design of the emissive materials the twenty-first century requires.</w:t>
      </w:r>
    </w:p>
    <w:p w14:paraId="3B835E21"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pict w14:anchorId="175341FD">
          <v:rect id="_x0000_i1031" style="width:0;height:1.5pt" o:hralign="center" o:hrstd="t" o:hr="t" fillcolor="#a0a0a0" stroked="f"/>
        </w:pict>
      </w:r>
    </w:p>
    <w:p w14:paraId="39BEFD4B" w14:textId="77777777" w:rsidR="00504D71" w:rsidRPr="00504D71" w:rsidRDefault="00504D71" w:rsidP="00504D71">
      <w:pPr>
        <w:spacing w:line="360" w:lineRule="auto"/>
        <w:jc w:val="both"/>
        <w:rPr>
          <w:rFonts w:ascii="Times New Roman" w:hAnsi="Times New Roman" w:cs="Times New Roman"/>
          <w:b/>
          <w:bCs/>
        </w:rPr>
      </w:pPr>
      <w:r w:rsidRPr="00504D71">
        <w:rPr>
          <w:rFonts w:ascii="Times New Roman" w:hAnsi="Times New Roman" w:cs="Times New Roman"/>
          <w:b/>
          <w:bCs/>
        </w:rPr>
        <w:t>References</w:t>
      </w:r>
    </w:p>
    <w:p w14:paraId="6F07EFE6"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lastRenderedPageBreak/>
        <w:t xml:space="preserve">[1] </w:t>
      </w:r>
      <w:proofErr w:type="spellStart"/>
      <w:r w:rsidRPr="00504D71">
        <w:rPr>
          <w:rFonts w:ascii="Times New Roman" w:hAnsi="Times New Roman" w:cs="Times New Roman"/>
        </w:rPr>
        <w:t>Incropera</w:t>
      </w:r>
      <w:proofErr w:type="spellEnd"/>
      <w:r w:rsidRPr="00504D71">
        <w:rPr>
          <w:rFonts w:ascii="Times New Roman" w:hAnsi="Times New Roman" w:cs="Times New Roman"/>
        </w:rPr>
        <w:t xml:space="preserve">, F.P.; DeWitt, D.P.; Bergman, T.L.; Lavine, A.S. </w:t>
      </w:r>
      <w:r w:rsidRPr="00504D71">
        <w:rPr>
          <w:rFonts w:ascii="Times New Roman" w:hAnsi="Times New Roman" w:cs="Times New Roman"/>
          <w:i/>
          <w:iCs/>
        </w:rPr>
        <w:t>Fundamentals of Heat and Mass Transfer</w:t>
      </w:r>
      <w:r w:rsidRPr="00504D71">
        <w:rPr>
          <w:rFonts w:ascii="Times New Roman" w:hAnsi="Times New Roman" w:cs="Times New Roman"/>
        </w:rPr>
        <w:t>, 7th ed.; John Wiley &amp; Sons: Hoboken, NJ, 2011.</w:t>
      </w:r>
    </w:p>
    <w:p w14:paraId="1E8B399A"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[2] International Energy Agency. </w:t>
      </w:r>
      <w:r w:rsidRPr="00504D71">
        <w:rPr>
          <w:rFonts w:ascii="Times New Roman" w:hAnsi="Times New Roman" w:cs="Times New Roman"/>
          <w:i/>
          <w:iCs/>
        </w:rPr>
        <w:t>World Energy Outlook 2022</w:t>
      </w:r>
      <w:r w:rsidRPr="00504D71">
        <w:rPr>
          <w:rFonts w:ascii="Times New Roman" w:hAnsi="Times New Roman" w:cs="Times New Roman"/>
        </w:rPr>
        <w:t>; IEA Publications: Paris, 2022. https://www.iea.org/reports/world-energy-outlook-2022</w:t>
      </w:r>
    </w:p>
    <w:p w14:paraId="5E2D83EA"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[3] International Energy Agency. </w:t>
      </w:r>
      <w:r w:rsidRPr="00504D71">
        <w:rPr>
          <w:rFonts w:ascii="Times New Roman" w:hAnsi="Times New Roman" w:cs="Times New Roman"/>
          <w:i/>
          <w:iCs/>
        </w:rPr>
        <w:t>Buildings – Tracking Clean Energy Progress 2023</w:t>
      </w:r>
      <w:r w:rsidRPr="00504D71">
        <w:rPr>
          <w:rFonts w:ascii="Times New Roman" w:hAnsi="Times New Roman" w:cs="Times New Roman"/>
        </w:rPr>
        <w:t>; IEA Publications: Paris, 2023. https://www.iea.org/energy-system/buildings</w:t>
      </w:r>
    </w:p>
    <w:p w14:paraId="132A7FFA"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[4] Baldo, M.A.; Holmes, R.J.; Forrest, S.R. Prospects for electrically pumped organic lasers. </w:t>
      </w:r>
      <w:r w:rsidRPr="00504D71">
        <w:rPr>
          <w:rFonts w:ascii="Times New Roman" w:hAnsi="Times New Roman" w:cs="Times New Roman"/>
          <w:i/>
          <w:iCs/>
        </w:rPr>
        <w:t>Phys. Rev. B</w:t>
      </w:r>
      <w:r w:rsidRPr="00504D71">
        <w:rPr>
          <w:rFonts w:ascii="Times New Roman" w:hAnsi="Times New Roman" w:cs="Times New Roman"/>
        </w:rPr>
        <w:t xml:space="preserve"> </w:t>
      </w:r>
      <w:r w:rsidRPr="00504D71">
        <w:rPr>
          <w:rFonts w:ascii="Times New Roman" w:hAnsi="Times New Roman" w:cs="Times New Roman"/>
          <w:b/>
          <w:bCs/>
        </w:rPr>
        <w:t>2002</w:t>
      </w:r>
      <w:r w:rsidRPr="00504D71">
        <w:rPr>
          <w:rFonts w:ascii="Times New Roman" w:hAnsi="Times New Roman" w:cs="Times New Roman"/>
        </w:rPr>
        <w:t xml:space="preserve">, </w:t>
      </w:r>
      <w:r w:rsidRPr="00504D71">
        <w:rPr>
          <w:rFonts w:ascii="Times New Roman" w:hAnsi="Times New Roman" w:cs="Times New Roman"/>
          <w:i/>
          <w:iCs/>
        </w:rPr>
        <w:t>66</w:t>
      </w:r>
      <w:r w:rsidRPr="00504D71">
        <w:rPr>
          <w:rFonts w:ascii="Times New Roman" w:hAnsi="Times New Roman" w:cs="Times New Roman"/>
        </w:rPr>
        <w:t>, 035321. https://doi.org/10.1103/PhysRevB.66.035321</w:t>
      </w:r>
    </w:p>
    <w:p w14:paraId="607C56BC"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[5] Pimputkar, S.; Speck, J.S.; </w:t>
      </w:r>
      <w:proofErr w:type="spellStart"/>
      <w:r w:rsidRPr="00504D71">
        <w:rPr>
          <w:rFonts w:ascii="Times New Roman" w:hAnsi="Times New Roman" w:cs="Times New Roman"/>
        </w:rPr>
        <w:t>DenBaars</w:t>
      </w:r>
      <w:proofErr w:type="spellEnd"/>
      <w:r w:rsidRPr="00504D71">
        <w:rPr>
          <w:rFonts w:ascii="Times New Roman" w:hAnsi="Times New Roman" w:cs="Times New Roman"/>
        </w:rPr>
        <w:t xml:space="preserve">, S.P.; Nakamura, S. Prospects for LED lighting. </w:t>
      </w:r>
      <w:r w:rsidRPr="00504D71">
        <w:rPr>
          <w:rFonts w:ascii="Times New Roman" w:hAnsi="Times New Roman" w:cs="Times New Roman"/>
          <w:i/>
          <w:iCs/>
        </w:rPr>
        <w:t>Nat. Photon.</w:t>
      </w:r>
      <w:r w:rsidRPr="00504D71">
        <w:rPr>
          <w:rFonts w:ascii="Times New Roman" w:hAnsi="Times New Roman" w:cs="Times New Roman"/>
        </w:rPr>
        <w:t xml:space="preserve"> </w:t>
      </w:r>
      <w:r w:rsidRPr="00504D71">
        <w:rPr>
          <w:rFonts w:ascii="Times New Roman" w:hAnsi="Times New Roman" w:cs="Times New Roman"/>
          <w:b/>
          <w:bCs/>
        </w:rPr>
        <w:t>2009</w:t>
      </w:r>
      <w:r w:rsidRPr="00504D71">
        <w:rPr>
          <w:rFonts w:ascii="Times New Roman" w:hAnsi="Times New Roman" w:cs="Times New Roman"/>
        </w:rPr>
        <w:t xml:space="preserve">, </w:t>
      </w:r>
      <w:r w:rsidRPr="00504D71">
        <w:rPr>
          <w:rFonts w:ascii="Times New Roman" w:hAnsi="Times New Roman" w:cs="Times New Roman"/>
          <w:i/>
          <w:iCs/>
        </w:rPr>
        <w:t>3</w:t>
      </w:r>
      <w:r w:rsidRPr="00504D71">
        <w:rPr>
          <w:rFonts w:ascii="Times New Roman" w:hAnsi="Times New Roman" w:cs="Times New Roman"/>
        </w:rPr>
        <w:t>, 180–182. https://doi.org/10.1038/nphoton.2009.32</w:t>
      </w:r>
    </w:p>
    <w:p w14:paraId="1D185DFD"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[6] Smet, P.F.; Parmentier, A.B.; Poelman, D. Selecting conversion phosphors for white light-emitting diodes. </w:t>
      </w:r>
      <w:r w:rsidRPr="00504D71">
        <w:rPr>
          <w:rFonts w:ascii="Times New Roman" w:hAnsi="Times New Roman" w:cs="Times New Roman"/>
          <w:i/>
          <w:iCs/>
        </w:rPr>
        <w:t xml:space="preserve">J. </w:t>
      </w:r>
      <w:proofErr w:type="spellStart"/>
      <w:r w:rsidRPr="00504D71">
        <w:rPr>
          <w:rFonts w:ascii="Times New Roman" w:hAnsi="Times New Roman" w:cs="Times New Roman"/>
          <w:i/>
          <w:iCs/>
        </w:rPr>
        <w:t>Electrochem</w:t>
      </w:r>
      <w:proofErr w:type="spellEnd"/>
      <w:r w:rsidRPr="00504D71">
        <w:rPr>
          <w:rFonts w:ascii="Times New Roman" w:hAnsi="Times New Roman" w:cs="Times New Roman"/>
          <w:i/>
          <w:iCs/>
        </w:rPr>
        <w:t>. Soc.</w:t>
      </w:r>
      <w:r w:rsidRPr="00504D71">
        <w:rPr>
          <w:rFonts w:ascii="Times New Roman" w:hAnsi="Times New Roman" w:cs="Times New Roman"/>
        </w:rPr>
        <w:t xml:space="preserve"> </w:t>
      </w:r>
      <w:r w:rsidRPr="00504D71">
        <w:rPr>
          <w:rFonts w:ascii="Times New Roman" w:hAnsi="Times New Roman" w:cs="Times New Roman"/>
          <w:b/>
          <w:bCs/>
        </w:rPr>
        <w:t>2011</w:t>
      </w:r>
      <w:r w:rsidRPr="00504D71">
        <w:rPr>
          <w:rFonts w:ascii="Times New Roman" w:hAnsi="Times New Roman" w:cs="Times New Roman"/>
        </w:rPr>
        <w:t xml:space="preserve">, </w:t>
      </w:r>
      <w:r w:rsidRPr="00504D71">
        <w:rPr>
          <w:rFonts w:ascii="Times New Roman" w:hAnsi="Times New Roman" w:cs="Times New Roman"/>
          <w:i/>
          <w:iCs/>
        </w:rPr>
        <w:t>158</w:t>
      </w:r>
      <w:r w:rsidRPr="00504D71">
        <w:rPr>
          <w:rFonts w:ascii="Times New Roman" w:hAnsi="Times New Roman" w:cs="Times New Roman"/>
        </w:rPr>
        <w:t>, R37–R54. https://doi.org/10.1149/1.3568524</w:t>
      </w:r>
    </w:p>
    <w:p w14:paraId="4ADA77C5"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[7] Shockley, W.; </w:t>
      </w:r>
      <w:proofErr w:type="spellStart"/>
      <w:r w:rsidRPr="00504D71">
        <w:rPr>
          <w:rFonts w:ascii="Times New Roman" w:hAnsi="Times New Roman" w:cs="Times New Roman"/>
        </w:rPr>
        <w:t>Queisser</w:t>
      </w:r>
      <w:proofErr w:type="spellEnd"/>
      <w:r w:rsidRPr="00504D71">
        <w:rPr>
          <w:rFonts w:ascii="Times New Roman" w:hAnsi="Times New Roman" w:cs="Times New Roman"/>
        </w:rPr>
        <w:t xml:space="preserve">, H.J. Detailed balance limit of efficiency of p-n junction solar cells. </w:t>
      </w:r>
      <w:r w:rsidRPr="00504D71">
        <w:rPr>
          <w:rFonts w:ascii="Times New Roman" w:hAnsi="Times New Roman" w:cs="Times New Roman"/>
          <w:i/>
          <w:iCs/>
        </w:rPr>
        <w:t>J. Appl. Phys.</w:t>
      </w:r>
      <w:r w:rsidRPr="00504D71">
        <w:rPr>
          <w:rFonts w:ascii="Times New Roman" w:hAnsi="Times New Roman" w:cs="Times New Roman"/>
        </w:rPr>
        <w:t xml:space="preserve"> </w:t>
      </w:r>
      <w:r w:rsidRPr="00504D71">
        <w:rPr>
          <w:rFonts w:ascii="Times New Roman" w:hAnsi="Times New Roman" w:cs="Times New Roman"/>
          <w:b/>
          <w:bCs/>
        </w:rPr>
        <w:t>1961</w:t>
      </w:r>
      <w:r w:rsidRPr="00504D71">
        <w:rPr>
          <w:rFonts w:ascii="Times New Roman" w:hAnsi="Times New Roman" w:cs="Times New Roman"/>
        </w:rPr>
        <w:t xml:space="preserve">, </w:t>
      </w:r>
      <w:r w:rsidRPr="00504D71">
        <w:rPr>
          <w:rFonts w:ascii="Times New Roman" w:hAnsi="Times New Roman" w:cs="Times New Roman"/>
          <w:i/>
          <w:iCs/>
        </w:rPr>
        <w:t>32</w:t>
      </w:r>
      <w:r w:rsidRPr="00504D71">
        <w:rPr>
          <w:rFonts w:ascii="Times New Roman" w:hAnsi="Times New Roman" w:cs="Times New Roman"/>
        </w:rPr>
        <w:t>, 510–519. https://doi.org/10.1063/1.1736034</w:t>
      </w:r>
    </w:p>
    <w:p w14:paraId="3A3197A2"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[8] ITU-R Recommendation BT.2020: </w:t>
      </w:r>
      <w:r w:rsidRPr="00504D71">
        <w:rPr>
          <w:rFonts w:ascii="Times New Roman" w:hAnsi="Times New Roman" w:cs="Times New Roman"/>
          <w:i/>
          <w:iCs/>
        </w:rPr>
        <w:t>Parameter Values for Ultra-</w:t>
      </w:r>
      <w:proofErr w:type="gramStart"/>
      <w:r w:rsidRPr="00504D71">
        <w:rPr>
          <w:rFonts w:ascii="Times New Roman" w:hAnsi="Times New Roman" w:cs="Times New Roman"/>
          <w:i/>
          <w:iCs/>
        </w:rPr>
        <w:t>High Definition</w:t>
      </w:r>
      <w:proofErr w:type="gramEnd"/>
      <w:r w:rsidRPr="00504D71">
        <w:rPr>
          <w:rFonts w:ascii="Times New Roman" w:hAnsi="Times New Roman" w:cs="Times New Roman"/>
          <w:i/>
          <w:iCs/>
        </w:rPr>
        <w:t xml:space="preserve"> Television Systems for Production and International Programme Exchange</w:t>
      </w:r>
      <w:r w:rsidRPr="00504D71">
        <w:rPr>
          <w:rFonts w:ascii="Times New Roman" w:hAnsi="Times New Roman" w:cs="Times New Roman"/>
        </w:rPr>
        <w:t>; International Telecommunication Union: Geneva, 2015.</w:t>
      </w:r>
    </w:p>
    <w:p w14:paraId="1B92FE3E"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[9] Tang, C.W.; VanSlyke, S.A. Organic electroluminescent diodes. </w:t>
      </w:r>
      <w:r w:rsidRPr="00504D71">
        <w:rPr>
          <w:rFonts w:ascii="Times New Roman" w:hAnsi="Times New Roman" w:cs="Times New Roman"/>
          <w:i/>
          <w:iCs/>
        </w:rPr>
        <w:t>Appl. Phys. Lett.</w:t>
      </w:r>
      <w:r w:rsidRPr="00504D71">
        <w:rPr>
          <w:rFonts w:ascii="Times New Roman" w:hAnsi="Times New Roman" w:cs="Times New Roman"/>
        </w:rPr>
        <w:t xml:space="preserve"> </w:t>
      </w:r>
      <w:r w:rsidRPr="00504D71">
        <w:rPr>
          <w:rFonts w:ascii="Times New Roman" w:hAnsi="Times New Roman" w:cs="Times New Roman"/>
          <w:b/>
          <w:bCs/>
        </w:rPr>
        <w:t>1987</w:t>
      </w:r>
      <w:r w:rsidRPr="00504D71">
        <w:rPr>
          <w:rFonts w:ascii="Times New Roman" w:hAnsi="Times New Roman" w:cs="Times New Roman"/>
        </w:rPr>
        <w:t xml:space="preserve">, </w:t>
      </w:r>
      <w:r w:rsidRPr="00504D71">
        <w:rPr>
          <w:rFonts w:ascii="Times New Roman" w:hAnsi="Times New Roman" w:cs="Times New Roman"/>
          <w:i/>
          <w:iCs/>
        </w:rPr>
        <w:t>51</w:t>
      </w:r>
      <w:r w:rsidRPr="00504D71">
        <w:rPr>
          <w:rFonts w:ascii="Times New Roman" w:hAnsi="Times New Roman" w:cs="Times New Roman"/>
        </w:rPr>
        <w:t>, 913–915. https://doi.org/10.1063/1.98799</w:t>
      </w:r>
    </w:p>
    <w:p w14:paraId="71304293"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[10] </w:t>
      </w:r>
      <w:proofErr w:type="spellStart"/>
      <w:r w:rsidRPr="00504D71">
        <w:rPr>
          <w:rFonts w:ascii="Times New Roman" w:hAnsi="Times New Roman" w:cs="Times New Roman"/>
        </w:rPr>
        <w:t>Uoyama</w:t>
      </w:r>
      <w:proofErr w:type="spellEnd"/>
      <w:r w:rsidRPr="00504D71">
        <w:rPr>
          <w:rFonts w:ascii="Times New Roman" w:hAnsi="Times New Roman" w:cs="Times New Roman"/>
        </w:rPr>
        <w:t xml:space="preserve">, H.; </w:t>
      </w:r>
      <w:proofErr w:type="spellStart"/>
      <w:r w:rsidRPr="00504D71">
        <w:rPr>
          <w:rFonts w:ascii="Times New Roman" w:hAnsi="Times New Roman" w:cs="Times New Roman"/>
        </w:rPr>
        <w:t>Goushi</w:t>
      </w:r>
      <w:proofErr w:type="spellEnd"/>
      <w:r w:rsidRPr="00504D71">
        <w:rPr>
          <w:rFonts w:ascii="Times New Roman" w:hAnsi="Times New Roman" w:cs="Times New Roman"/>
        </w:rPr>
        <w:t xml:space="preserve">, K.; Shizu, K.; Nomura, H.; Adachi, C. Highly efficient organic light-emitting diodes from delayed fluorescence. </w:t>
      </w:r>
      <w:r w:rsidRPr="00504D71">
        <w:rPr>
          <w:rFonts w:ascii="Times New Roman" w:hAnsi="Times New Roman" w:cs="Times New Roman"/>
          <w:i/>
          <w:iCs/>
        </w:rPr>
        <w:t>Nature</w:t>
      </w:r>
      <w:r w:rsidRPr="00504D71">
        <w:rPr>
          <w:rFonts w:ascii="Times New Roman" w:hAnsi="Times New Roman" w:cs="Times New Roman"/>
        </w:rPr>
        <w:t xml:space="preserve"> </w:t>
      </w:r>
      <w:r w:rsidRPr="00504D71">
        <w:rPr>
          <w:rFonts w:ascii="Times New Roman" w:hAnsi="Times New Roman" w:cs="Times New Roman"/>
          <w:b/>
          <w:bCs/>
        </w:rPr>
        <w:t>2012</w:t>
      </w:r>
      <w:r w:rsidRPr="00504D71">
        <w:rPr>
          <w:rFonts w:ascii="Times New Roman" w:hAnsi="Times New Roman" w:cs="Times New Roman"/>
        </w:rPr>
        <w:t xml:space="preserve">, </w:t>
      </w:r>
      <w:r w:rsidRPr="00504D71">
        <w:rPr>
          <w:rFonts w:ascii="Times New Roman" w:hAnsi="Times New Roman" w:cs="Times New Roman"/>
          <w:i/>
          <w:iCs/>
        </w:rPr>
        <w:t>492</w:t>
      </w:r>
      <w:r w:rsidRPr="00504D71">
        <w:rPr>
          <w:rFonts w:ascii="Times New Roman" w:hAnsi="Times New Roman" w:cs="Times New Roman"/>
        </w:rPr>
        <w:t>, 234–238. https://doi.org/10.1038/nature11687</w:t>
      </w:r>
    </w:p>
    <w:p w14:paraId="6376E821"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[11] Scholz, S.; </w:t>
      </w:r>
      <w:proofErr w:type="spellStart"/>
      <w:r w:rsidRPr="00504D71">
        <w:rPr>
          <w:rFonts w:ascii="Times New Roman" w:hAnsi="Times New Roman" w:cs="Times New Roman"/>
        </w:rPr>
        <w:t>Kondakov</w:t>
      </w:r>
      <w:proofErr w:type="spellEnd"/>
      <w:r w:rsidRPr="00504D71">
        <w:rPr>
          <w:rFonts w:ascii="Times New Roman" w:hAnsi="Times New Roman" w:cs="Times New Roman"/>
        </w:rPr>
        <w:t xml:space="preserve">, D.; </w:t>
      </w:r>
      <w:proofErr w:type="spellStart"/>
      <w:r w:rsidRPr="00504D71">
        <w:rPr>
          <w:rFonts w:ascii="Times New Roman" w:hAnsi="Times New Roman" w:cs="Times New Roman"/>
        </w:rPr>
        <w:t>Lüssem</w:t>
      </w:r>
      <w:proofErr w:type="spellEnd"/>
      <w:r w:rsidRPr="00504D71">
        <w:rPr>
          <w:rFonts w:ascii="Times New Roman" w:hAnsi="Times New Roman" w:cs="Times New Roman"/>
        </w:rPr>
        <w:t xml:space="preserve">, B.; Leo, K. Degradation mechanisms and reactions in organic light-emitting devices. </w:t>
      </w:r>
      <w:r w:rsidRPr="00504D71">
        <w:rPr>
          <w:rFonts w:ascii="Times New Roman" w:hAnsi="Times New Roman" w:cs="Times New Roman"/>
          <w:i/>
          <w:iCs/>
        </w:rPr>
        <w:t>Chem. Rev.</w:t>
      </w:r>
      <w:r w:rsidRPr="00504D71">
        <w:rPr>
          <w:rFonts w:ascii="Times New Roman" w:hAnsi="Times New Roman" w:cs="Times New Roman"/>
        </w:rPr>
        <w:t xml:space="preserve"> </w:t>
      </w:r>
      <w:r w:rsidRPr="00504D71">
        <w:rPr>
          <w:rFonts w:ascii="Times New Roman" w:hAnsi="Times New Roman" w:cs="Times New Roman"/>
          <w:b/>
          <w:bCs/>
        </w:rPr>
        <w:t>2015</w:t>
      </w:r>
      <w:r w:rsidRPr="00504D71">
        <w:rPr>
          <w:rFonts w:ascii="Times New Roman" w:hAnsi="Times New Roman" w:cs="Times New Roman"/>
        </w:rPr>
        <w:t xml:space="preserve">, </w:t>
      </w:r>
      <w:r w:rsidRPr="00504D71">
        <w:rPr>
          <w:rFonts w:ascii="Times New Roman" w:hAnsi="Times New Roman" w:cs="Times New Roman"/>
          <w:i/>
          <w:iCs/>
        </w:rPr>
        <w:t>115</w:t>
      </w:r>
      <w:r w:rsidRPr="00504D71">
        <w:rPr>
          <w:rFonts w:ascii="Times New Roman" w:hAnsi="Times New Roman" w:cs="Times New Roman"/>
        </w:rPr>
        <w:t>, 8449–8503. https://doi.org/10.1021/acs.chemrev.5b00045</w:t>
      </w:r>
    </w:p>
    <w:p w14:paraId="63B41506"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[12] Commission Internationale de </w:t>
      </w:r>
      <w:proofErr w:type="spellStart"/>
      <w:r w:rsidRPr="00504D71">
        <w:rPr>
          <w:rFonts w:ascii="Times New Roman" w:hAnsi="Times New Roman" w:cs="Times New Roman"/>
        </w:rPr>
        <w:t>l'Éclairage</w:t>
      </w:r>
      <w:proofErr w:type="spellEnd"/>
      <w:r w:rsidRPr="00504D71">
        <w:rPr>
          <w:rFonts w:ascii="Times New Roman" w:hAnsi="Times New Roman" w:cs="Times New Roman"/>
        </w:rPr>
        <w:t xml:space="preserve">. </w:t>
      </w:r>
      <w:r w:rsidRPr="00504D71">
        <w:rPr>
          <w:rFonts w:ascii="Times New Roman" w:hAnsi="Times New Roman" w:cs="Times New Roman"/>
          <w:i/>
          <w:iCs/>
        </w:rPr>
        <w:t>Colorimetry</w:t>
      </w:r>
      <w:r w:rsidRPr="00504D71">
        <w:rPr>
          <w:rFonts w:ascii="Times New Roman" w:hAnsi="Times New Roman" w:cs="Times New Roman"/>
        </w:rPr>
        <w:t>, 3rd ed.; CIE Publication 15:2004; CIE: Vienna, 2004.</w:t>
      </w:r>
    </w:p>
    <w:p w14:paraId="0E977B9F"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[13] Yu, P.Y.; Cardona, M. </w:t>
      </w:r>
      <w:r w:rsidRPr="00504D71">
        <w:rPr>
          <w:rFonts w:ascii="Times New Roman" w:hAnsi="Times New Roman" w:cs="Times New Roman"/>
          <w:i/>
          <w:iCs/>
        </w:rPr>
        <w:t>Fundamentals of Semiconductors: Physics and Materials Properties</w:t>
      </w:r>
      <w:r w:rsidRPr="00504D71">
        <w:rPr>
          <w:rFonts w:ascii="Times New Roman" w:hAnsi="Times New Roman" w:cs="Times New Roman"/>
        </w:rPr>
        <w:t>, 4th ed.; Springer: Berlin, 2010.</w:t>
      </w:r>
    </w:p>
    <w:p w14:paraId="646E4093"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lastRenderedPageBreak/>
        <w:t xml:space="preserve">[14] Huang, K.; Rhys, A. Theory of light absorption and non-radiative transitions in F-centres. </w:t>
      </w:r>
      <w:r w:rsidRPr="00504D71">
        <w:rPr>
          <w:rFonts w:ascii="Times New Roman" w:hAnsi="Times New Roman" w:cs="Times New Roman"/>
          <w:i/>
          <w:iCs/>
        </w:rPr>
        <w:t>Proc. R. Soc. London, Ser. A</w:t>
      </w:r>
      <w:r w:rsidRPr="00504D71">
        <w:rPr>
          <w:rFonts w:ascii="Times New Roman" w:hAnsi="Times New Roman" w:cs="Times New Roman"/>
        </w:rPr>
        <w:t xml:space="preserve"> </w:t>
      </w:r>
      <w:r w:rsidRPr="00504D71">
        <w:rPr>
          <w:rFonts w:ascii="Times New Roman" w:hAnsi="Times New Roman" w:cs="Times New Roman"/>
          <w:b/>
          <w:bCs/>
        </w:rPr>
        <w:t>1950</w:t>
      </w:r>
      <w:r w:rsidRPr="00504D71">
        <w:rPr>
          <w:rFonts w:ascii="Times New Roman" w:hAnsi="Times New Roman" w:cs="Times New Roman"/>
        </w:rPr>
        <w:t xml:space="preserve">, </w:t>
      </w:r>
      <w:r w:rsidRPr="00504D71">
        <w:rPr>
          <w:rFonts w:ascii="Times New Roman" w:hAnsi="Times New Roman" w:cs="Times New Roman"/>
          <w:i/>
          <w:iCs/>
        </w:rPr>
        <w:t>204</w:t>
      </w:r>
      <w:r w:rsidRPr="00504D71">
        <w:rPr>
          <w:rFonts w:ascii="Times New Roman" w:hAnsi="Times New Roman" w:cs="Times New Roman"/>
        </w:rPr>
        <w:t>, 406–423. https://doi.org/10.1098/rspa.1950.0184</w:t>
      </w:r>
    </w:p>
    <w:p w14:paraId="74B041FB"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[15] </w:t>
      </w:r>
      <w:proofErr w:type="spellStart"/>
      <w:r w:rsidRPr="00504D71">
        <w:rPr>
          <w:rFonts w:ascii="Times New Roman" w:hAnsi="Times New Roman" w:cs="Times New Roman"/>
        </w:rPr>
        <w:t>Protesescu</w:t>
      </w:r>
      <w:proofErr w:type="spellEnd"/>
      <w:r w:rsidRPr="00504D71">
        <w:rPr>
          <w:rFonts w:ascii="Times New Roman" w:hAnsi="Times New Roman" w:cs="Times New Roman"/>
        </w:rPr>
        <w:t xml:space="preserve">, L.; Yakunin, S.; Bodnarchuk, M.I.; Krieg, F.; Caputo, R.; Hendon, C.H.; Yang, R.X.; Walsh, A.; Kovalenko, M.V. Nanocrystals of </w:t>
      </w:r>
      <w:proofErr w:type="spellStart"/>
      <w:r w:rsidRPr="00504D71">
        <w:rPr>
          <w:rFonts w:ascii="Times New Roman" w:hAnsi="Times New Roman" w:cs="Times New Roman"/>
        </w:rPr>
        <w:t>cesium</w:t>
      </w:r>
      <w:proofErr w:type="spellEnd"/>
      <w:r w:rsidRPr="00504D71">
        <w:rPr>
          <w:rFonts w:ascii="Times New Roman" w:hAnsi="Times New Roman" w:cs="Times New Roman"/>
        </w:rPr>
        <w:t xml:space="preserve"> lead halide perovskites (</w:t>
      </w:r>
      <w:proofErr w:type="spellStart"/>
      <w:r w:rsidRPr="00504D71">
        <w:rPr>
          <w:rFonts w:ascii="Times New Roman" w:hAnsi="Times New Roman" w:cs="Times New Roman"/>
        </w:rPr>
        <w:t>CsPbX</w:t>
      </w:r>
      <w:proofErr w:type="spellEnd"/>
      <w:r w:rsidRPr="00504D71">
        <w:rPr>
          <w:rFonts w:ascii="Times New Roman" w:hAnsi="Times New Roman" w:cs="Times New Roman"/>
        </w:rPr>
        <w:t xml:space="preserve">₃, X = Cl, Br, and I): Novel optoelectronic materials showing bright emission with wide </w:t>
      </w:r>
      <w:proofErr w:type="spellStart"/>
      <w:r w:rsidRPr="00504D71">
        <w:rPr>
          <w:rFonts w:ascii="Times New Roman" w:hAnsi="Times New Roman" w:cs="Times New Roman"/>
        </w:rPr>
        <w:t>color</w:t>
      </w:r>
      <w:proofErr w:type="spellEnd"/>
      <w:r w:rsidRPr="00504D71">
        <w:rPr>
          <w:rFonts w:ascii="Times New Roman" w:hAnsi="Times New Roman" w:cs="Times New Roman"/>
        </w:rPr>
        <w:t xml:space="preserve"> gamut. </w:t>
      </w:r>
      <w:r w:rsidRPr="00504D71">
        <w:rPr>
          <w:rFonts w:ascii="Times New Roman" w:hAnsi="Times New Roman" w:cs="Times New Roman"/>
          <w:i/>
          <w:iCs/>
        </w:rPr>
        <w:t>Nano Lett.</w:t>
      </w:r>
      <w:r w:rsidRPr="00504D71">
        <w:rPr>
          <w:rFonts w:ascii="Times New Roman" w:hAnsi="Times New Roman" w:cs="Times New Roman"/>
        </w:rPr>
        <w:t xml:space="preserve"> </w:t>
      </w:r>
      <w:r w:rsidRPr="00504D71">
        <w:rPr>
          <w:rFonts w:ascii="Times New Roman" w:hAnsi="Times New Roman" w:cs="Times New Roman"/>
          <w:b/>
          <w:bCs/>
        </w:rPr>
        <w:t>2015</w:t>
      </w:r>
      <w:r w:rsidRPr="00504D71">
        <w:rPr>
          <w:rFonts w:ascii="Times New Roman" w:hAnsi="Times New Roman" w:cs="Times New Roman"/>
        </w:rPr>
        <w:t xml:space="preserve">, </w:t>
      </w:r>
      <w:r w:rsidRPr="00504D71">
        <w:rPr>
          <w:rFonts w:ascii="Times New Roman" w:hAnsi="Times New Roman" w:cs="Times New Roman"/>
          <w:i/>
          <w:iCs/>
        </w:rPr>
        <w:t>15</w:t>
      </w:r>
      <w:r w:rsidRPr="00504D71">
        <w:rPr>
          <w:rFonts w:ascii="Times New Roman" w:hAnsi="Times New Roman" w:cs="Times New Roman"/>
        </w:rPr>
        <w:t>, 3692–3696. https://doi.org/10.1021/nl5048779</w:t>
      </w:r>
    </w:p>
    <w:p w14:paraId="28E040AE"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[16] Haitz, R.; Tsao, J.Y. Solid-state lighting: 'The case' 10 years after and future prospects. </w:t>
      </w:r>
      <w:r w:rsidRPr="00504D71">
        <w:rPr>
          <w:rFonts w:ascii="Times New Roman" w:hAnsi="Times New Roman" w:cs="Times New Roman"/>
          <w:i/>
          <w:iCs/>
        </w:rPr>
        <w:t>Phys. Status Solidi A</w:t>
      </w:r>
      <w:r w:rsidRPr="00504D71">
        <w:rPr>
          <w:rFonts w:ascii="Times New Roman" w:hAnsi="Times New Roman" w:cs="Times New Roman"/>
        </w:rPr>
        <w:t xml:space="preserve"> </w:t>
      </w:r>
      <w:r w:rsidRPr="00504D71">
        <w:rPr>
          <w:rFonts w:ascii="Times New Roman" w:hAnsi="Times New Roman" w:cs="Times New Roman"/>
          <w:b/>
          <w:bCs/>
        </w:rPr>
        <w:t>2011</w:t>
      </w:r>
      <w:r w:rsidRPr="00504D71">
        <w:rPr>
          <w:rFonts w:ascii="Times New Roman" w:hAnsi="Times New Roman" w:cs="Times New Roman"/>
        </w:rPr>
        <w:t xml:space="preserve">, </w:t>
      </w:r>
      <w:r w:rsidRPr="00504D71">
        <w:rPr>
          <w:rFonts w:ascii="Times New Roman" w:hAnsi="Times New Roman" w:cs="Times New Roman"/>
          <w:i/>
          <w:iCs/>
        </w:rPr>
        <w:t>208</w:t>
      </w:r>
      <w:r w:rsidRPr="00504D71">
        <w:rPr>
          <w:rFonts w:ascii="Times New Roman" w:hAnsi="Times New Roman" w:cs="Times New Roman"/>
        </w:rPr>
        <w:t>, 17–29. https://doi.org/10.1002/pssa.201026349</w:t>
      </w:r>
    </w:p>
    <w:p w14:paraId="3E1E2ED9"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[17] ITU-R Recommendation BT.2100: </w:t>
      </w:r>
      <w:r w:rsidRPr="00504D71">
        <w:rPr>
          <w:rFonts w:ascii="Times New Roman" w:hAnsi="Times New Roman" w:cs="Times New Roman"/>
          <w:i/>
          <w:iCs/>
        </w:rPr>
        <w:t>Image Parameter Values for High Dynamic Range Television for Use in Production and International Programme Exchange</w:t>
      </w:r>
      <w:r w:rsidRPr="00504D71">
        <w:rPr>
          <w:rFonts w:ascii="Times New Roman" w:hAnsi="Times New Roman" w:cs="Times New Roman"/>
        </w:rPr>
        <w:t>; International Telecommunication Union: Geneva, 2016.</w:t>
      </w:r>
    </w:p>
    <w:p w14:paraId="26F81A4B"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[18] </w:t>
      </w:r>
      <w:proofErr w:type="spellStart"/>
      <w:r w:rsidRPr="00504D71">
        <w:rPr>
          <w:rFonts w:ascii="Times New Roman" w:hAnsi="Times New Roman" w:cs="Times New Roman"/>
        </w:rPr>
        <w:t>Shirasaki</w:t>
      </w:r>
      <w:proofErr w:type="spellEnd"/>
      <w:r w:rsidRPr="00504D71">
        <w:rPr>
          <w:rFonts w:ascii="Times New Roman" w:hAnsi="Times New Roman" w:cs="Times New Roman"/>
        </w:rPr>
        <w:t xml:space="preserve">, Y.; </w:t>
      </w:r>
      <w:proofErr w:type="spellStart"/>
      <w:r w:rsidRPr="00504D71">
        <w:rPr>
          <w:rFonts w:ascii="Times New Roman" w:hAnsi="Times New Roman" w:cs="Times New Roman"/>
        </w:rPr>
        <w:t>Supran</w:t>
      </w:r>
      <w:proofErr w:type="spellEnd"/>
      <w:r w:rsidRPr="00504D71">
        <w:rPr>
          <w:rFonts w:ascii="Times New Roman" w:hAnsi="Times New Roman" w:cs="Times New Roman"/>
        </w:rPr>
        <w:t xml:space="preserve">, G.J.; Bawendi, M.G.; </w:t>
      </w:r>
      <w:proofErr w:type="spellStart"/>
      <w:r w:rsidRPr="00504D71">
        <w:rPr>
          <w:rFonts w:ascii="Times New Roman" w:hAnsi="Times New Roman" w:cs="Times New Roman"/>
        </w:rPr>
        <w:t>Bulović</w:t>
      </w:r>
      <w:proofErr w:type="spellEnd"/>
      <w:r w:rsidRPr="00504D71">
        <w:rPr>
          <w:rFonts w:ascii="Times New Roman" w:hAnsi="Times New Roman" w:cs="Times New Roman"/>
        </w:rPr>
        <w:t xml:space="preserve">, V. Emergence of colloidal quantum-dot light-emitting technologies. </w:t>
      </w:r>
      <w:r w:rsidRPr="00504D71">
        <w:rPr>
          <w:rFonts w:ascii="Times New Roman" w:hAnsi="Times New Roman" w:cs="Times New Roman"/>
          <w:i/>
          <w:iCs/>
        </w:rPr>
        <w:t>Nat. Photon.</w:t>
      </w:r>
      <w:r w:rsidRPr="00504D71">
        <w:rPr>
          <w:rFonts w:ascii="Times New Roman" w:hAnsi="Times New Roman" w:cs="Times New Roman"/>
        </w:rPr>
        <w:t xml:space="preserve"> </w:t>
      </w:r>
      <w:r w:rsidRPr="00504D71">
        <w:rPr>
          <w:rFonts w:ascii="Times New Roman" w:hAnsi="Times New Roman" w:cs="Times New Roman"/>
          <w:b/>
          <w:bCs/>
        </w:rPr>
        <w:t>2013</w:t>
      </w:r>
      <w:r w:rsidRPr="00504D71">
        <w:rPr>
          <w:rFonts w:ascii="Times New Roman" w:hAnsi="Times New Roman" w:cs="Times New Roman"/>
        </w:rPr>
        <w:t xml:space="preserve">, </w:t>
      </w:r>
      <w:r w:rsidRPr="00504D71">
        <w:rPr>
          <w:rFonts w:ascii="Times New Roman" w:hAnsi="Times New Roman" w:cs="Times New Roman"/>
          <w:i/>
          <w:iCs/>
        </w:rPr>
        <w:t>7</w:t>
      </w:r>
      <w:r w:rsidRPr="00504D71">
        <w:rPr>
          <w:rFonts w:ascii="Times New Roman" w:hAnsi="Times New Roman" w:cs="Times New Roman"/>
        </w:rPr>
        <w:t>, 13–23. https://doi.org/10.1038/nphoton.2012.328</w:t>
      </w:r>
    </w:p>
    <w:p w14:paraId="17157276"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[19] Motti, S.G.; </w:t>
      </w:r>
      <w:proofErr w:type="spellStart"/>
      <w:r w:rsidRPr="00504D71">
        <w:rPr>
          <w:rFonts w:ascii="Times New Roman" w:hAnsi="Times New Roman" w:cs="Times New Roman"/>
        </w:rPr>
        <w:t>Meggiolaro</w:t>
      </w:r>
      <w:proofErr w:type="spellEnd"/>
      <w:r w:rsidRPr="00504D71">
        <w:rPr>
          <w:rFonts w:ascii="Times New Roman" w:hAnsi="Times New Roman" w:cs="Times New Roman"/>
        </w:rPr>
        <w:t xml:space="preserve">, D.; </w:t>
      </w:r>
      <w:proofErr w:type="spellStart"/>
      <w:r w:rsidRPr="00504D71">
        <w:rPr>
          <w:rFonts w:ascii="Times New Roman" w:hAnsi="Times New Roman" w:cs="Times New Roman"/>
        </w:rPr>
        <w:t>Martani</w:t>
      </w:r>
      <w:proofErr w:type="spellEnd"/>
      <w:r w:rsidRPr="00504D71">
        <w:rPr>
          <w:rFonts w:ascii="Times New Roman" w:hAnsi="Times New Roman" w:cs="Times New Roman"/>
        </w:rPr>
        <w:t xml:space="preserve">, S.; Sorrentino, R.; Barker, A.J.; De Angelis, F.; Petrozza, A. Defect activity in lead halide perovskites. </w:t>
      </w:r>
      <w:r w:rsidRPr="00504D71">
        <w:rPr>
          <w:rFonts w:ascii="Times New Roman" w:hAnsi="Times New Roman" w:cs="Times New Roman"/>
          <w:i/>
          <w:iCs/>
        </w:rPr>
        <w:t>Adv. Mater.</w:t>
      </w:r>
      <w:r w:rsidRPr="00504D71">
        <w:rPr>
          <w:rFonts w:ascii="Times New Roman" w:hAnsi="Times New Roman" w:cs="Times New Roman"/>
        </w:rPr>
        <w:t xml:space="preserve"> </w:t>
      </w:r>
      <w:r w:rsidRPr="00504D71">
        <w:rPr>
          <w:rFonts w:ascii="Times New Roman" w:hAnsi="Times New Roman" w:cs="Times New Roman"/>
          <w:b/>
          <w:bCs/>
        </w:rPr>
        <w:t>2019</w:t>
      </w:r>
      <w:r w:rsidRPr="00504D71">
        <w:rPr>
          <w:rFonts w:ascii="Times New Roman" w:hAnsi="Times New Roman" w:cs="Times New Roman"/>
        </w:rPr>
        <w:t xml:space="preserve">, </w:t>
      </w:r>
      <w:r w:rsidRPr="00504D71">
        <w:rPr>
          <w:rFonts w:ascii="Times New Roman" w:hAnsi="Times New Roman" w:cs="Times New Roman"/>
          <w:i/>
          <w:iCs/>
        </w:rPr>
        <w:t>31</w:t>
      </w:r>
      <w:r w:rsidRPr="00504D71">
        <w:rPr>
          <w:rFonts w:ascii="Times New Roman" w:hAnsi="Times New Roman" w:cs="Times New Roman"/>
        </w:rPr>
        <w:t>, 1901183. https://doi.org/10.1002/adma.201901183</w:t>
      </w:r>
    </w:p>
    <w:p w14:paraId="2CD4C9B9"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[20] Englman, R.; </w:t>
      </w:r>
      <w:proofErr w:type="spellStart"/>
      <w:r w:rsidRPr="00504D71">
        <w:rPr>
          <w:rFonts w:ascii="Times New Roman" w:hAnsi="Times New Roman" w:cs="Times New Roman"/>
        </w:rPr>
        <w:t>Jortner</w:t>
      </w:r>
      <w:proofErr w:type="spellEnd"/>
      <w:r w:rsidRPr="00504D71">
        <w:rPr>
          <w:rFonts w:ascii="Times New Roman" w:hAnsi="Times New Roman" w:cs="Times New Roman"/>
        </w:rPr>
        <w:t xml:space="preserve">, J. The energy gap law for </w:t>
      </w:r>
      <w:proofErr w:type="spellStart"/>
      <w:r w:rsidRPr="00504D71">
        <w:rPr>
          <w:rFonts w:ascii="Times New Roman" w:hAnsi="Times New Roman" w:cs="Times New Roman"/>
        </w:rPr>
        <w:t>radiationless</w:t>
      </w:r>
      <w:proofErr w:type="spellEnd"/>
      <w:r w:rsidRPr="00504D71">
        <w:rPr>
          <w:rFonts w:ascii="Times New Roman" w:hAnsi="Times New Roman" w:cs="Times New Roman"/>
        </w:rPr>
        <w:t xml:space="preserve"> transitions in large molecules. </w:t>
      </w:r>
      <w:r w:rsidRPr="00504D71">
        <w:rPr>
          <w:rFonts w:ascii="Times New Roman" w:hAnsi="Times New Roman" w:cs="Times New Roman"/>
          <w:i/>
          <w:iCs/>
        </w:rPr>
        <w:t>Mol. Phys.</w:t>
      </w:r>
      <w:r w:rsidRPr="00504D71">
        <w:rPr>
          <w:rFonts w:ascii="Times New Roman" w:hAnsi="Times New Roman" w:cs="Times New Roman"/>
        </w:rPr>
        <w:t xml:space="preserve"> </w:t>
      </w:r>
      <w:r w:rsidRPr="00504D71">
        <w:rPr>
          <w:rFonts w:ascii="Times New Roman" w:hAnsi="Times New Roman" w:cs="Times New Roman"/>
          <w:b/>
          <w:bCs/>
        </w:rPr>
        <w:t>1970</w:t>
      </w:r>
      <w:r w:rsidRPr="00504D71">
        <w:rPr>
          <w:rFonts w:ascii="Times New Roman" w:hAnsi="Times New Roman" w:cs="Times New Roman"/>
        </w:rPr>
        <w:t xml:space="preserve">, </w:t>
      </w:r>
      <w:r w:rsidRPr="00504D71">
        <w:rPr>
          <w:rFonts w:ascii="Times New Roman" w:hAnsi="Times New Roman" w:cs="Times New Roman"/>
          <w:i/>
          <w:iCs/>
        </w:rPr>
        <w:t>18</w:t>
      </w:r>
      <w:r w:rsidRPr="00504D71">
        <w:rPr>
          <w:rFonts w:ascii="Times New Roman" w:hAnsi="Times New Roman" w:cs="Times New Roman"/>
        </w:rPr>
        <w:t>, 145–164. https://doi.org/10.1080/00268977000100171</w:t>
      </w:r>
    </w:p>
    <w:p w14:paraId="7A4B822A"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[21] Bae, W.K.; Padilha, L.A.; Park, Y.-S.; McDaniel, H.; Robel, I.; Pietryga, J.M.; Klimov, V.I. Controlled alloying of the core–shell interface in </w:t>
      </w:r>
      <w:proofErr w:type="spellStart"/>
      <w:r w:rsidRPr="00504D71">
        <w:rPr>
          <w:rFonts w:ascii="Times New Roman" w:hAnsi="Times New Roman" w:cs="Times New Roman"/>
        </w:rPr>
        <w:t>CdSe</w:t>
      </w:r>
      <w:proofErr w:type="spellEnd"/>
      <w:r w:rsidRPr="00504D71">
        <w:rPr>
          <w:rFonts w:ascii="Times New Roman" w:hAnsi="Times New Roman" w:cs="Times New Roman"/>
        </w:rPr>
        <w:t xml:space="preserve">/ZnS quantum dots for suppression of Auger recombination. </w:t>
      </w:r>
      <w:r w:rsidRPr="00504D71">
        <w:rPr>
          <w:rFonts w:ascii="Times New Roman" w:hAnsi="Times New Roman" w:cs="Times New Roman"/>
          <w:i/>
          <w:iCs/>
        </w:rPr>
        <w:t>ACS Nano</w:t>
      </w:r>
      <w:r w:rsidRPr="00504D71">
        <w:rPr>
          <w:rFonts w:ascii="Times New Roman" w:hAnsi="Times New Roman" w:cs="Times New Roman"/>
        </w:rPr>
        <w:t xml:space="preserve"> </w:t>
      </w:r>
      <w:r w:rsidRPr="00504D71">
        <w:rPr>
          <w:rFonts w:ascii="Times New Roman" w:hAnsi="Times New Roman" w:cs="Times New Roman"/>
          <w:b/>
          <w:bCs/>
        </w:rPr>
        <w:t>2013</w:t>
      </w:r>
      <w:r w:rsidRPr="00504D71">
        <w:rPr>
          <w:rFonts w:ascii="Times New Roman" w:hAnsi="Times New Roman" w:cs="Times New Roman"/>
        </w:rPr>
        <w:t xml:space="preserve">, </w:t>
      </w:r>
      <w:r w:rsidRPr="00504D71">
        <w:rPr>
          <w:rFonts w:ascii="Times New Roman" w:hAnsi="Times New Roman" w:cs="Times New Roman"/>
          <w:i/>
          <w:iCs/>
        </w:rPr>
        <w:t>7</w:t>
      </w:r>
      <w:r w:rsidRPr="00504D71">
        <w:rPr>
          <w:rFonts w:ascii="Times New Roman" w:hAnsi="Times New Roman" w:cs="Times New Roman"/>
        </w:rPr>
        <w:t>, 3411–3419. https://doi.org/10.1021/nn4002825</w:t>
      </w:r>
    </w:p>
    <w:p w14:paraId="3DCD7BCB"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[22] Hoke, E.T.; </w:t>
      </w:r>
      <w:proofErr w:type="spellStart"/>
      <w:r w:rsidRPr="00504D71">
        <w:rPr>
          <w:rFonts w:ascii="Times New Roman" w:hAnsi="Times New Roman" w:cs="Times New Roman"/>
        </w:rPr>
        <w:t>Slotcavage</w:t>
      </w:r>
      <w:proofErr w:type="spellEnd"/>
      <w:r w:rsidRPr="00504D71">
        <w:rPr>
          <w:rFonts w:ascii="Times New Roman" w:hAnsi="Times New Roman" w:cs="Times New Roman"/>
        </w:rPr>
        <w:t xml:space="preserve">, D.J.; Dohner, E.R.; Bowring, A.R.; Karunadasa, H.I.; McGehee, M.D. Reversible photo-induced trap formation in mixed-halide hybrid perovskites for photovoltaics. </w:t>
      </w:r>
      <w:r w:rsidRPr="00504D71">
        <w:rPr>
          <w:rFonts w:ascii="Times New Roman" w:hAnsi="Times New Roman" w:cs="Times New Roman"/>
          <w:i/>
          <w:iCs/>
        </w:rPr>
        <w:t>Chem. Sci.</w:t>
      </w:r>
      <w:r w:rsidRPr="00504D71">
        <w:rPr>
          <w:rFonts w:ascii="Times New Roman" w:hAnsi="Times New Roman" w:cs="Times New Roman"/>
        </w:rPr>
        <w:t xml:space="preserve"> </w:t>
      </w:r>
      <w:r w:rsidRPr="00504D71">
        <w:rPr>
          <w:rFonts w:ascii="Times New Roman" w:hAnsi="Times New Roman" w:cs="Times New Roman"/>
          <w:b/>
          <w:bCs/>
        </w:rPr>
        <w:t>2015</w:t>
      </w:r>
      <w:r w:rsidRPr="00504D71">
        <w:rPr>
          <w:rFonts w:ascii="Times New Roman" w:hAnsi="Times New Roman" w:cs="Times New Roman"/>
        </w:rPr>
        <w:t xml:space="preserve">, </w:t>
      </w:r>
      <w:r w:rsidRPr="00504D71">
        <w:rPr>
          <w:rFonts w:ascii="Times New Roman" w:hAnsi="Times New Roman" w:cs="Times New Roman"/>
          <w:i/>
          <w:iCs/>
        </w:rPr>
        <w:t>6</w:t>
      </w:r>
      <w:r w:rsidRPr="00504D71">
        <w:rPr>
          <w:rFonts w:ascii="Times New Roman" w:hAnsi="Times New Roman" w:cs="Times New Roman"/>
        </w:rPr>
        <w:t>, 613–617. https://doi.org/10.1039/C4SC03141E</w:t>
      </w:r>
    </w:p>
    <w:p w14:paraId="0F130260"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[23] Mao, L.; </w:t>
      </w:r>
      <w:proofErr w:type="spellStart"/>
      <w:r w:rsidRPr="00504D71">
        <w:rPr>
          <w:rFonts w:ascii="Times New Roman" w:hAnsi="Times New Roman" w:cs="Times New Roman"/>
        </w:rPr>
        <w:t>Stoumpos</w:t>
      </w:r>
      <w:proofErr w:type="spellEnd"/>
      <w:r w:rsidRPr="00504D71">
        <w:rPr>
          <w:rFonts w:ascii="Times New Roman" w:hAnsi="Times New Roman" w:cs="Times New Roman"/>
        </w:rPr>
        <w:t xml:space="preserve">, C.C.; </w:t>
      </w:r>
      <w:proofErr w:type="spellStart"/>
      <w:r w:rsidRPr="00504D71">
        <w:rPr>
          <w:rFonts w:ascii="Times New Roman" w:hAnsi="Times New Roman" w:cs="Times New Roman"/>
        </w:rPr>
        <w:t>Kanatzidis</w:t>
      </w:r>
      <w:proofErr w:type="spellEnd"/>
      <w:r w:rsidRPr="00504D71">
        <w:rPr>
          <w:rFonts w:ascii="Times New Roman" w:hAnsi="Times New Roman" w:cs="Times New Roman"/>
        </w:rPr>
        <w:t xml:space="preserve">, M.G. Two-dimensional hybrid halide perovskites: Principles and promises. </w:t>
      </w:r>
      <w:r w:rsidRPr="00504D71">
        <w:rPr>
          <w:rFonts w:ascii="Times New Roman" w:hAnsi="Times New Roman" w:cs="Times New Roman"/>
          <w:i/>
          <w:iCs/>
        </w:rPr>
        <w:t>J. Am. Chem. Soc.</w:t>
      </w:r>
      <w:r w:rsidRPr="00504D71">
        <w:rPr>
          <w:rFonts w:ascii="Times New Roman" w:hAnsi="Times New Roman" w:cs="Times New Roman"/>
        </w:rPr>
        <w:t xml:space="preserve"> </w:t>
      </w:r>
      <w:r w:rsidRPr="00504D71">
        <w:rPr>
          <w:rFonts w:ascii="Times New Roman" w:hAnsi="Times New Roman" w:cs="Times New Roman"/>
          <w:b/>
          <w:bCs/>
        </w:rPr>
        <w:t>2019</w:t>
      </w:r>
      <w:r w:rsidRPr="00504D71">
        <w:rPr>
          <w:rFonts w:ascii="Times New Roman" w:hAnsi="Times New Roman" w:cs="Times New Roman"/>
        </w:rPr>
        <w:t xml:space="preserve">, </w:t>
      </w:r>
      <w:r w:rsidRPr="00504D71">
        <w:rPr>
          <w:rFonts w:ascii="Times New Roman" w:hAnsi="Times New Roman" w:cs="Times New Roman"/>
          <w:i/>
          <w:iCs/>
        </w:rPr>
        <w:t>141</w:t>
      </w:r>
      <w:r w:rsidRPr="00504D71">
        <w:rPr>
          <w:rFonts w:ascii="Times New Roman" w:hAnsi="Times New Roman" w:cs="Times New Roman"/>
        </w:rPr>
        <w:t>, 1171–1190. https://doi.org/10.1021/jacs.8b10851</w:t>
      </w:r>
    </w:p>
    <w:p w14:paraId="674ED85E"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[24] Quan, L.N.; Zhao, Y.; García de Arquer, F.P.; Sabatini, R.; Walters, G.; </w:t>
      </w:r>
      <w:proofErr w:type="spellStart"/>
      <w:r w:rsidRPr="00504D71">
        <w:rPr>
          <w:rFonts w:ascii="Times New Roman" w:hAnsi="Times New Roman" w:cs="Times New Roman"/>
        </w:rPr>
        <w:t>Voznyy</w:t>
      </w:r>
      <w:proofErr w:type="spellEnd"/>
      <w:r w:rsidRPr="00504D71">
        <w:rPr>
          <w:rFonts w:ascii="Times New Roman" w:hAnsi="Times New Roman" w:cs="Times New Roman"/>
        </w:rPr>
        <w:t xml:space="preserve">, O.; Comin, R.; Li, Y.; Fan, J.Z.; Tan, H.; Pan, J.; Yuan, M.; Bakr, O.M.; Lu, Z.; Kim, D.H.; Sargent, E.H. </w:t>
      </w:r>
      <w:r w:rsidRPr="00504D71">
        <w:rPr>
          <w:rFonts w:ascii="Times New Roman" w:hAnsi="Times New Roman" w:cs="Times New Roman"/>
        </w:rPr>
        <w:lastRenderedPageBreak/>
        <w:t xml:space="preserve">Tailoring the energy landscape in quasi-2D halide perovskites enables efficient green-light emission. </w:t>
      </w:r>
      <w:r w:rsidRPr="00504D71">
        <w:rPr>
          <w:rFonts w:ascii="Times New Roman" w:hAnsi="Times New Roman" w:cs="Times New Roman"/>
          <w:i/>
          <w:iCs/>
        </w:rPr>
        <w:t>Nano Lett.</w:t>
      </w:r>
      <w:r w:rsidRPr="00504D71">
        <w:rPr>
          <w:rFonts w:ascii="Times New Roman" w:hAnsi="Times New Roman" w:cs="Times New Roman"/>
        </w:rPr>
        <w:t xml:space="preserve"> </w:t>
      </w:r>
      <w:r w:rsidRPr="00504D71">
        <w:rPr>
          <w:rFonts w:ascii="Times New Roman" w:hAnsi="Times New Roman" w:cs="Times New Roman"/>
          <w:b/>
          <w:bCs/>
        </w:rPr>
        <w:t>2017</w:t>
      </w:r>
      <w:r w:rsidRPr="00504D71">
        <w:rPr>
          <w:rFonts w:ascii="Times New Roman" w:hAnsi="Times New Roman" w:cs="Times New Roman"/>
        </w:rPr>
        <w:t xml:space="preserve">, </w:t>
      </w:r>
      <w:r w:rsidRPr="00504D71">
        <w:rPr>
          <w:rFonts w:ascii="Times New Roman" w:hAnsi="Times New Roman" w:cs="Times New Roman"/>
          <w:i/>
          <w:iCs/>
        </w:rPr>
        <w:t>17</w:t>
      </w:r>
      <w:r w:rsidRPr="00504D71">
        <w:rPr>
          <w:rFonts w:ascii="Times New Roman" w:hAnsi="Times New Roman" w:cs="Times New Roman"/>
        </w:rPr>
        <w:t>, 3701–3709. https://doi.org/10.1021/acs.nanolett.7b00976</w:t>
      </w:r>
    </w:p>
    <w:p w14:paraId="56CF7087" w14:textId="77777777" w:rsidR="00504D71" w:rsidRPr="00504D71" w:rsidRDefault="00504D71" w:rsidP="00504D71">
      <w:pPr>
        <w:spacing w:line="360" w:lineRule="auto"/>
        <w:jc w:val="both"/>
        <w:rPr>
          <w:rFonts w:ascii="Times New Roman" w:hAnsi="Times New Roman" w:cs="Times New Roman"/>
        </w:rPr>
      </w:pPr>
      <w:r w:rsidRPr="00504D71">
        <w:rPr>
          <w:rFonts w:ascii="Times New Roman" w:hAnsi="Times New Roman" w:cs="Times New Roman"/>
        </w:rPr>
        <w:t xml:space="preserve">[25] Lu, S.; Zhou, Q.; Ouyang, Y.; Guo, Y.; Li, Q.; Wang, J. Accelerated discovery of stable lead-free hybrid organic-inorganic perovskites via machine learning. </w:t>
      </w:r>
      <w:r w:rsidRPr="00504D71">
        <w:rPr>
          <w:rFonts w:ascii="Times New Roman" w:hAnsi="Times New Roman" w:cs="Times New Roman"/>
          <w:i/>
          <w:iCs/>
        </w:rPr>
        <w:t>Nat. Commun.</w:t>
      </w:r>
      <w:r w:rsidRPr="00504D71">
        <w:rPr>
          <w:rFonts w:ascii="Times New Roman" w:hAnsi="Times New Roman" w:cs="Times New Roman"/>
        </w:rPr>
        <w:t xml:space="preserve"> </w:t>
      </w:r>
      <w:r w:rsidRPr="00504D71">
        <w:rPr>
          <w:rFonts w:ascii="Times New Roman" w:hAnsi="Times New Roman" w:cs="Times New Roman"/>
          <w:b/>
          <w:bCs/>
        </w:rPr>
        <w:t>2018</w:t>
      </w:r>
      <w:r w:rsidRPr="00504D71">
        <w:rPr>
          <w:rFonts w:ascii="Times New Roman" w:hAnsi="Times New Roman" w:cs="Times New Roman"/>
        </w:rPr>
        <w:t xml:space="preserve">, </w:t>
      </w:r>
      <w:r w:rsidRPr="00504D71">
        <w:rPr>
          <w:rFonts w:ascii="Times New Roman" w:hAnsi="Times New Roman" w:cs="Times New Roman"/>
          <w:i/>
          <w:iCs/>
        </w:rPr>
        <w:t>9</w:t>
      </w:r>
      <w:r w:rsidRPr="00504D71">
        <w:rPr>
          <w:rFonts w:ascii="Times New Roman" w:hAnsi="Times New Roman" w:cs="Times New Roman"/>
        </w:rPr>
        <w:t>, 3405. https://doi.org/10.1038/s41467-018-05761-w</w:t>
      </w:r>
    </w:p>
    <w:p w14:paraId="1C7CD2F6" w14:textId="77777777" w:rsidR="00077A44" w:rsidRPr="00504D71" w:rsidRDefault="00077A44" w:rsidP="00504D71">
      <w:pPr>
        <w:spacing w:line="360" w:lineRule="auto"/>
        <w:jc w:val="both"/>
        <w:rPr>
          <w:rFonts w:ascii="Times New Roman" w:hAnsi="Times New Roman" w:cs="Times New Roman"/>
        </w:rPr>
      </w:pPr>
    </w:p>
    <w:sectPr w:rsidR="00077A44" w:rsidRPr="00504D7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02CA1" w14:textId="77777777" w:rsidR="00F90916" w:rsidRDefault="00F90916" w:rsidP="00504D71">
      <w:pPr>
        <w:spacing w:after="0" w:line="240" w:lineRule="auto"/>
      </w:pPr>
      <w:r>
        <w:separator/>
      </w:r>
    </w:p>
  </w:endnote>
  <w:endnote w:type="continuationSeparator" w:id="0">
    <w:p w14:paraId="1779B49A" w14:textId="77777777" w:rsidR="00F90916" w:rsidRDefault="00F90916" w:rsidP="00504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739657"/>
      <w:docPartObj>
        <w:docPartGallery w:val="Page Numbers (Bottom of Page)"/>
        <w:docPartUnique/>
      </w:docPartObj>
    </w:sdtPr>
    <w:sdtEndPr>
      <w:rPr>
        <w:noProof/>
      </w:rPr>
    </w:sdtEndPr>
    <w:sdtContent>
      <w:p w14:paraId="58C1B4A9" w14:textId="5D1B3E63" w:rsidR="00504D71" w:rsidRDefault="00504D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50212D" w14:textId="77777777" w:rsidR="00504D71" w:rsidRDefault="0050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9DB4C" w14:textId="77777777" w:rsidR="00F90916" w:rsidRDefault="00F90916" w:rsidP="00504D71">
      <w:pPr>
        <w:spacing w:after="0" w:line="240" w:lineRule="auto"/>
      </w:pPr>
      <w:r>
        <w:separator/>
      </w:r>
    </w:p>
  </w:footnote>
  <w:footnote w:type="continuationSeparator" w:id="0">
    <w:p w14:paraId="44F4AE29" w14:textId="77777777" w:rsidR="00F90916" w:rsidRDefault="00F90916" w:rsidP="00504D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F0B7E"/>
    <w:multiLevelType w:val="multilevel"/>
    <w:tmpl w:val="3268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FC34E9"/>
    <w:multiLevelType w:val="multilevel"/>
    <w:tmpl w:val="32A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80229">
    <w:abstractNumId w:val="1"/>
  </w:num>
  <w:num w:numId="2" w16cid:durableId="1240557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A44"/>
    <w:rsid w:val="00077A44"/>
    <w:rsid w:val="000C6CF9"/>
    <w:rsid w:val="00504D71"/>
    <w:rsid w:val="00F02352"/>
    <w:rsid w:val="00F90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379F7C-04A2-4635-AED8-D3537491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A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A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A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A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A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A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A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A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A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A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A44"/>
    <w:rPr>
      <w:rFonts w:eastAsiaTheme="majorEastAsia" w:cstheme="majorBidi"/>
      <w:color w:val="272727" w:themeColor="text1" w:themeTint="D8"/>
    </w:rPr>
  </w:style>
  <w:style w:type="paragraph" w:styleId="Title">
    <w:name w:val="Title"/>
    <w:basedOn w:val="Normal"/>
    <w:next w:val="Normal"/>
    <w:link w:val="TitleChar"/>
    <w:uiPriority w:val="10"/>
    <w:qFormat/>
    <w:rsid w:val="00077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A44"/>
    <w:pPr>
      <w:spacing w:before="160"/>
      <w:jc w:val="center"/>
    </w:pPr>
    <w:rPr>
      <w:i/>
      <w:iCs/>
      <w:color w:val="404040" w:themeColor="text1" w:themeTint="BF"/>
    </w:rPr>
  </w:style>
  <w:style w:type="character" w:customStyle="1" w:styleId="QuoteChar">
    <w:name w:val="Quote Char"/>
    <w:basedOn w:val="DefaultParagraphFont"/>
    <w:link w:val="Quote"/>
    <w:uiPriority w:val="29"/>
    <w:rsid w:val="00077A44"/>
    <w:rPr>
      <w:i/>
      <w:iCs/>
      <w:color w:val="404040" w:themeColor="text1" w:themeTint="BF"/>
    </w:rPr>
  </w:style>
  <w:style w:type="paragraph" w:styleId="ListParagraph">
    <w:name w:val="List Paragraph"/>
    <w:basedOn w:val="Normal"/>
    <w:uiPriority w:val="34"/>
    <w:qFormat/>
    <w:rsid w:val="00077A44"/>
    <w:pPr>
      <w:ind w:left="720"/>
      <w:contextualSpacing/>
    </w:pPr>
  </w:style>
  <w:style w:type="character" w:styleId="IntenseEmphasis">
    <w:name w:val="Intense Emphasis"/>
    <w:basedOn w:val="DefaultParagraphFont"/>
    <w:uiPriority w:val="21"/>
    <w:qFormat/>
    <w:rsid w:val="00077A44"/>
    <w:rPr>
      <w:i/>
      <w:iCs/>
      <w:color w:val="2F5496" w:themeColor="accent1" w:themeShade="BF"/>
    </w:rPr>
  </w:style>
  <w:style w:type="paragraph" w:styleId="IntenseQuote">
    <w:name w:val="Intense Quote"/>
    <w:basedOn w:val="Normal"/>
    <w:next w:val="Normal"/>
    <w:link w:val="IntenseQuoteChar"/>
    <w:uiPriority w:val="30"/>
    <w:qFormat/>
    <w:rsid w:val="00077A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A44"/>
    <w:rPr>
      <w:i/>
      <w:iCs/>
      <w:color w:val="2F5496" w:themeColor="accent1" w:themeShade="BF"/>
    </w:rPr>
  </w:style>
  <w:style w:type="character" w:styleId="IntenseReference">
    <w:name w:val="Intense Reference"/>
    <w:basedOn w:val="DefaultParagraphFont"/>
    <w:uiPriority w:val="32"/>
    <w:qFormat/>
    <w:rsid w:val="00077A44"/>
    <w:rPr>
      <w:b/>
      <w:bCs/>
      <w:smallCaps/>
      <w:color w:val="2F5496" w:themeColor="accent1" w:themeShade="BF"/>
      <w:spacing w:val="5"/>
    </w:rPr>
  </w:style>
  <w:style w:type="paragraph" w:styleId="Header">
    <w:name w:val="header"/>
    <w:basedOn w:val="Normal"/>
    <w:link w:val="HeaderChar"/>
    <w:uiPriority w:val="99"/>
    <w:unhideWhenUsed/>
    <w:rsid w:val="00504D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D71"/>
  </w:style>
  <w:style w:type="paragraph" w:styleId="Footer">
    <w:name w:val="footer"/>
    <w:basedOn w:val="Normal"/>
    <w:link w:val="FooterChar"/>
    <w:uiPriority w:val="99"/>
    <w:unhideWhenUsed/>
    <w:rsid w:val="00504D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D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3880</Words>
  <Characters>22116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18chph20@uohyd.ac.in</dc:creator>
  <cp:keywords/>
  <dc:description/>
  <cp:lastModifiedBy>18chph20@uohyd.ac.in</cp:lastModifiedBy>
  <cp:revision>3</cp:revision>
  <dcterms:created xsi:type="dcterms:W3CDTF">2026-06-14T02:54:00Z</dcterms:created>
  <dcterms:modified xsi:type="dcterms:W3CDTF">2026-06-14T04:37:00Z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56628356-ed53-4280-a841-b4de10574878</vt:lpwstr>
  </property>
</Properties>
</file>