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F272" w14:textId="77777777" w:rsidR="001A1412" w:rsidRPr="00C502FF" w:rsidRDefault="001A1412" w:rsidP="00C502FF">
      <w:pPr>
        <w:spacing w:line="480" w:lineRule="auto"/>
        <w:jc w:val="both"/>
        <w:rPr>
          <w:rFonts w:ascii="Times New Roman" w:hAnsi="Times New Roman" w:cs="Times New Roman"/>
          <w:b/>
          <w:bCs/>
        </w:rPr>
      </w:pPr>
      <w:r w:rsidRPr="00C502FF">
        <w:rPr>
          <w:rFonts w:ascii="Times New Roman" w:hAnsi="Times New Roman" w:cs="Times New Roman"/>
          <w:b/>
          <w:bCs/>
        </w:rPr>
        <w:t>"Deciphering Low-Dimensional Perovskites Emission Properties Using Practical and Machine Learning Approaches"</w:t>
      </w:r>
    </w:p>
    <w:p w14:paraId="68FDA979" w14:textId="77777777" w:rsidR="00C502FF" w:rsidRPr="00C502FF" w:rsidRDefault="00000000" w:rsidP="00C502FF">
      <w:pPr>
        <w:spacing w:line="480" w:lineRule="auto"/>
        <w:jc w:val="both"/>
        <w:rPr>
          <w:rFonts w:ascii="Times New Roman" w:hAnsi="Times New Roman" w:cs="Times New Roman"/>
        </w:rPr>
      </w:pPr>
      <w:r>
        <w:rPr>
          <w:rFonts w:ascii="Times New Roman" w:hAnsi="Times New Roman" w:cs="Times New Roman"/>
        </w:rPr>
        <w:pict w14:anchorId="359756A5">
          <v:rect id="_x0000_i1025" style="width:0;height:1.5pt" o:hralign="center" o:hrstd="t" o:hr="t" fillcolor="#a0a0a0" stroked="f"/>
        </w:pict>
      </w:r>
    </w:p>
    <w:p w14:paraId="4EA2B1E3" w14:textId="15225332" w:rsidR="00C502FF" w:rsidRPr="00C502FF" w:rsidRDefault="00C502FF" w:rsidP="00C502FF">
      <w:pPr>
        <w:spacing w:line="480" w:lineRule="auto"/>
        <w:jc w:val="both"/>
        <w:rPr>
          <w:rFonts w:ascii="Times New Roman" w:hAnsi="Times New Roman" w:cs="Times New Roman"/>
          <w:b/>
          <w:bCs/>
        </w:rPr>
      </w:pPr>
      <w:r w:rsidRPr="00C502FF">
        <w:rPr>
          <w:rFonts w:ascii="Times New Roman" w:hAnsi="Times New Roman" w:cs="Times New Roman"/>
          <w:b/>
          <w:bCs/>
        </w:rPr>
        <w:t xml:space="preserve">1.1 </w:t>
      </w:r>
      <w:r w:rsidR="00996D3F">
        <w:rPr>
          <w:rFonts w:ascii="Times New Roman" w:hAnsi="Times New Roman" w:cs="Times New Roman"/>
          <w:b/>
          <w:bCs/>
        </w:rPr>
        <w:t>Need of Explore</w:t>
      </w:r>
      <w:r w:rsidRPr="00C502FF">
        <w:rPr>
          <w:rFonts w:ascii="Times New Roman" w:hAnsi="Times New Roman" w:cs="Times New Roman"/>
          <w:b/>
          <w:bCs/>
        </w:rPr>
        <w:t xml:space="preserve"> Advanced Emissive Materials</w:t>
      </w:r>
    </w:p>
    <w:p w14:paraId="5441586D" w14:textId="44FCB947" w:rsidR="00996D3F" w:rsidRPr="00996D3F" w:rsidRDefault="00996D3F" w:rsidP="00996D3F">
      <w:pPr>
        <w:spacing w:line="480" w:lineRule="auto"/>
        <w:ind w:firstLine="720"/>
        <w:jc w:val="both"/>
        <w:rPr>
          <w:rFonts w:ascii="Times New Roman" w:hAnsi="Times New Roman" w:cs="Times New Roman"/>
        </w:rPr>
      </w:pPr>
      <w:r w:rsidRPr="00996D3F">
        <w:rPr>
          <w:rFonts w:ascii="Times New Roman" w:hAnsi="Times New Roman" w:cs="Times New Roman"/>
        </w:rPr>
        <w:t>Solid-state lighting and high-fidelity displays constitute a multi</w:t>
      </w:r>
      <w:r w:rsidRPr="00996D3F">
        <w:rPr>
          <w:rFonts w:ascii="Times New Roman" w:hAnsi="Times New Roman" w:cs="Times New Roman"/>
        </w:rPr>
        <w:noBreakHyphen/>
        <w:t>billion</w:t>
      </w:r>
      <w:r w:rsidRPr="00996D3F">
        <w:rPr>
          <w:rFonts w:ascii="Times New Roman" w:hAnsi="Times New Roman" w:cs="Times New Roman"/>
        </w:rPr>
        <w:noBreakHyphen/>
        <w:t>dollar global industry.</w:t>
      </w:r>
      <w:r>
        <w:rPr>
          <w:rFonts w:ascii="Times New Roman" w:hAnsi="Times New Roman" w:cs="Times New Roman"/>
        </w:rPr>
        <w:t xml:space="preserve"> </w:t>
      </w:r>
      <w:r w:rsidRPr="00504D71">
        <w:rPr>
          <w:rFonts w:ascii="Times New Roman" w:hAnsi="Times New Roman" w:cs="Times New Roman"/>
        </w:rPr>
        <w:t>Lighting alone accounts for approximately 15% of global electricity consumption and nearly 5% of worldwide greenhouse gas emissions [2].</w:t>
      </w:r>
    </w:p>
    <w:p w14:paraId="528F4321" w14:textId="77C8896F" w:rsidR="00C502FF" w:rsidRPr="00C502FF" w:rsidRDefault="00C502FF" w:rsidP="00E82ADD">
      <w:pPr>
        <w:spacing w:line="480" w:lineRule="auto"/>
        <w:ind w:firstLine="720"/>
        <w:jc w:val="both"/>
        <w:rPr>
          <w:rFonts w:ascii="Times New Roman" w:hAnsi="Times New Roman" w:cs="Times New Roman"/>
        </w:rPr>
      </w:pPr>
      <w:r w:rsidRPr="00C502FF">
        <w:rPr>
          <w:rFonts w:ascii="Times New Roman" w:hAnsi="Times New Roman" w:cs="Times New Roman"/>
        </w:rPr>
        <w:t>Modern display and lighting technologies are built around one central requirement</w:t>
      </w:r>
      <w:r>
        <w:rPr>
          <w:rFonts w:ascii="Times New Roman" w:hAnsi="Times New Roman" w:cs="Times New Roman"/>
        </w:rPr>
        <w:t>: to generate light of a specific colour at high brightness with minimal energy loss</w:t>
      </w:r>
      <w:r w:rsidRPr="00C502FF">
        <w:rPr>
          <w:rFonts w:ascii="Times New Roman" w:hAnsi="Times New Roman" w:cs="Times New Roman"/>
        </w:rPr>
        <w:t xml:space="preserve">. For several decades, three main families of </w:t>
      </w:r>
      <w:r>
        <w:rPr>
          <w:rFonts w:ascii="Times New Roman" w:hAnsi="Times New Roman" w:cs="Times New Roman"/>
        </w:rPr>
        <w:t>light-emitting</w:t>
      </w:r>
      <w:r w:rsidRPr="00C502FF">
        <w:rPr>
          <w:rFonts w:ascii="Times New Roman" w:hAnsi="Times New Roman" w:cs="Times New Roman"/>
        </w:rPr>
        <w:t xml:space="preserve"> materials have </w:t>
      </w:r>
      <w:r>
        <w:rPr>
          <w:rFonts w:ascii="Times New Roman" w:hAnsi="Times New Roman" w:cs="Times New Roman"/>
        </w:rPr>
        <w:t>tried to fulfil those requirements:</w:t>
      </w:r>
      <w:r w:rsidRPr="00C502FF">
        <w:rPr>
          <w:rFonts w:ascii="Times New Roman" w:hAnsi="Times New Roman" w:cs="Times New Roman"/>
        </w:rPr>
        <w:t xml:space="preserve"> organic light-emitting diodes (OLEDs), conventional III-V inorganic LEDs based on gallium nitride (</w:t>
      </w:r>
      <w:proofErr w:type="spellStart"/>
      <w:r w:rsidRPr="00C502FF">
        <w:rPr>
          <w:rFonts w:ascii="Times New Roman" w:hAnsi="Times New Roman" w:cs="Times New Roman"/>
        </w:rPr>
        <w:t>GaN</w:t>
      </w:r>
      <w:proofErr w:type="spellEnd"/>
      <w:r w:rsidRPr="00C502FF">
        <w:rPr>
          <w:rFonts w:ascii="Times New Roman" w:hAnsi="Times New Roman" w:cs="Times New Roman"/>
        </w:rPr>
        <w:t>)</w:t>
      </w:r>
      <w:r w:rsidR="0026453F">
        <w:rPr>
          <w:rFonts w:ascii="Times New Roman" w:hAnsi="Times New Roman" w:cs="Times New Roman"/>
        </w:rPr>
        <w:t xml:space="preserve"> </w:t>
      </w:r>
      <w:r w:rsidRPr="00C502FF">
        <w:rPr>
          <w:rFonts w:ascii="Times New Roman" w:hAnsi="Times New Roman" w:cs="Times New Roman"/>
        </w:rPr>
        <w:t xml:space="preserve">related compounds, and colloidal quantum dot LEDs (QLEDs) based on cadmium selenide (CdSe) or indium phosphide (InP) nanocrystals. Each of these material systems has delivered real progress in certain areas while falling short in others. None has fully satisfied </w:t>
      </w:r>
      <w:r w:rsidR="00C10C4E">
        <w:rPr>
          <w:rFonts w:ascii="Times New Roman" w:hAnsi="Times New Roman" w:cs="Times New Roman"/>
        </w:rPr>
        <w:t>the next-generation display standards now in place, and closing that gap has become a central challenge</w:t>
      </w:r>
      <w:r w:rsidRPr="00C502FF">
        <w:rPr>
          <w:rFonts w:ascii="Times New Roman" w:hAnsi="Times New Roman" w:cs="Times New Roman"/>
        </w:rPr>
        <w:t xml:space="preserve"> in </w:t>
      </w:r>
      <w:r w:rsidR="00A250E5">
        <w:rPr>
          <w:rFonts w:ascii="Times New Roman" w:hAnsi="Times New Roman" w:cs="Times New Roman"/>
        </w:rPr>
        <w:t>the</w:t>
      </w:r>
      <w:r w:rsidRPr="00C502FF">
        <w:rPr>
          <w:rFonts w:ascii="Times New Roman" w:hAnsi="Times New Roman" w:cs="Times New Roman"/>
        </w:rPr>
        <w:t xml:space="preserve"> materials science</w:t>
      </w:r>
      <w:r w:rsidR="00A250E5">
        <w:rPr>
          <w:rFonts w:ascii="Times New Roman" w:hAnsi="Times New Roman" w:cs="Times New Roman"/>
        </w:rPr>
        <w:t>s</w:t>
      </w:r>
      <w:r w:rsidR="00E82ADD">
        <w:rPr>
          <w:rFonts w:ascii="Times New Roman" w:hAnsi="Times New Roman" w:cs="Times New Roman"/>
        </w:rPr>
        <w:t>.</w:t>
      </w:r>
      <w:r w:rsidR="00A250E5" w:rsidRPr="00C502FF">
        <w:rPr>
          <w:rFonts w:ascii="Times New Roman" w:hAnsi="Times New Roman" w:cs="Times New Roman"/>
        </w:rPr>
        <w:t xml:space="preserve"> </w:t>
      </w:r>
    </w:p>
    <w:p w14:paraId="5D0F37E1" w14:textId="36725F3B" w:rsidR="00C502FF" w:rsidRPr="00C502FF" w:rsidRDefault="00C502FF" w:rsidP="00E82ADD">
      <w:pPr>
        <w:spacing w:line="480" w:lineRule="auto"/>
        <w:ind w:firstLine="720"/>
        <w:jc w:val="both"/>
        <w:rPr>
          <w:rFonts w:ascii="Times New Roman" w:hAnsi="Times New Roman" w:cs="Times New Roman"/>
        </w:rPr>
      </w:pPr>
      <w:r w:rsidRPr="00C502FF">
        <w:rPr>
          <w:rFonts w:ascii="Times New Roman" w:hAnsi="Times New Roman" w:cs="Times New Roman"/>
        </w:rPr>
        <w:t>The benchmark that defines this demand today is the Rec. 2020 color standard (formally, ITU-R BT.2020), which was adopted for ultra-high-definition television and has since been widely accepted as the performance target for high-resolution displays, augmented reality headsets, and near-eye wearable devices</w:t>
      </w:r>
      <w:r w:rsidR="00E82ADD">
        <w:rPr>
          <w:rFonts w:ascii="Times New Roman" w:hAnsi="Times New Roman" w:cs="Times New Roman"/>
        </w:rPr>
        <w:t>.</w:t>
      </w:r>
      <w:r w:rsidR="00E82ADD">
        <w:rPr>
          <w:rFonts w:ascii="Times New Roman" w:hAnsi="Times New Roman" w:cs="Times New Roman"/>
        </w:rPr>
        <w:fldChar w:fldCharType="begin"/>
      </w:r>
      <w:r w:rsidR="00E82ADD">
        <w:rPr>
          <w:rFonts w:ascii="Times New Roman" w:hAnsi="Times New Roman" w:cs="Times New Roman"/>
        </w:rPr>
        <w:instrText xml:space="preserve"> ADDIN EN.CITE &lt;EndNote&gt;&lt;Cite&gt;&lt;Author&gt;Chiang&lt;/Author&gt;&lt;Year&gt;2026&lt;/Year&gt;&lt;RecNum&gt;32&lt;/RecNum&gt;&lt;DisplayText&gt;[3]&lt;/DisplayText&gt;&lt;record&gt;&lt;rec-number&gt;32&lt;/rec-number&gt;&lt;foreign-keys&gt;&lt;key app="EN" db-id="w9wpew9ra2s2sqepsvavdsf2zx55zszffwae" timestamp="1780912423"&gt;32&lt;/key&gt;&lt;/foreign-keys&gt;&lt;ref-type name="Journal Article"&gt;17&lt;/ref-type&gt;&lt;contributors&gt;&lt;authors&gt;&lt;author&gt;Chiang, Tsung-Hsing&lt;/author&gt;&lt;author&gt;Kerwood, Deborah J.&lt;/author&gt;&lt;author&gt;Stapf, Abigail L.&lt;/author&gt;&lt;author&gt;Cotlet, Mircea&lt;/author&gt;&lt;author&gt;Maye, Mathew M.&lt;/author&gt;&lt;/authors&gt;&lt;/contributors&gt;&lt;titles&gt;&lt;title&gt;Investigating the Role π-Rich Solvents Play in the Growth of Cesium Lead Bromide Nanocrystals&lt;/title&gt;&lt;secondary-title&gt;ACS Nanoscience Au&lt;/secondary-title&gt;&lt;/titles&gt;&lt;periodical&gt;&lt;full-title&gt;ACS Nanoscience Au&lt;/full-title&gt;&lt;/periodical&gt;&lt;pages&gt;44-53&lt;/pages&gt;&lt;volume&gt;6&lt;/volume&gt;&lt;number&gt;1&lt;/number&gt;&lt;dates&gt;&lt;year&gt;2026&lt;/year&gt;&lt;pub-dates&gt;&lt;date&gt;2026/02/18&lt;/date&gt;&lt;/pub-dates&gt;&lt;/dates&gt;&lt;publisher&gt;American Chemical Society&lt;/publisher&gt;&lt;urls&gt;&lt;related-urls&gt;&lt;url&gt;https://doi.org/10.1021/acsnanoscienceau.5c00081&lt;/url&gt;&lt;/related-urls&gt;&lt;/urls&gt;&lt;electronic-resource-num&gt;10.1021/acsnanoscienceau.5c00081&lt;/electronic-resource-num&gt;&lt;/record&gt;&lt;/Cite&gt;&lt;/EndNote&gt;</w:instrText>
      </w:r>
      <w:r w:rsidR="00E82ADD">
        <w:rPr>
          <w:rFonts w:ascii="Times New Roman" w:hAnsi="Times New Roman" w:cs="Times New Roman"/>
        </w:rPr>
        <w:fldChar w:fldCharType="separate"/>
      </w:r>
      <w:r w:rsidR="00E82ADD">
        <w:rPr>
          <w:rFonts w:ascii="Times New Roman" w:hAnsi="Times New Roman" w:cs="Times New Roman"/>
          <w:noProof/>
        </w:rPr>
        <w:t>[3]</w:t>
      </w:r>
      <w:r w:rsidR="00E82ADD">
        <w:rPr>
          <w:rFonts w:ascii="Times New Roman" w:hAnsi="Times New Roman" w:cs="Times New Roman"/>
        </w:rPr>
        <w:fldChar w:fldCharType="end"/>
      </w:r>
      <w:r w:rsidRPr="00C502FF">
        <w:rPr>
          <w:rFonts w:ascii="Times New Roman" w:hAnsi="Times New Roman" w:cs="Times New Roman"/>
        </w:rPr>
        <w:t xml:space="preserve"> Rec. 2020 specifies </w:t>
      </w:r>
      <w:r w:rsidR="00B341BE" w:rsidRPr="00C502FF">
        <w:rPr>
          <w:rFonts w:ascii="Times New Roman" w:hAnsi="Times New Roman" w:cs="Times New Roman"/>
        </w:rPr>
        <w:t xml:space="preserve">red, green, and blue </w:t>
      </w:r>
      <w:r w:rsidR="00B341BE">
        <w:rPr>
          <w:rFonts w:ascii="Times New Roman" w:hAnsi="Times New Roman" w:cs="Times New Roman"/>
        </w:rPr>
        <w:t>as the three primary colours, whose positions on the Commission Internationale de l'Éclairage (CIE) 1931 chromaticity diagram form a triangle that covers roughly 75.8% of all colours</w:t>
      </w:r>
      <w:r w:rsidRPr="00C502FF">
        <w:rPr>
          <w:rFonts w:ascii="Times New Roman" w:hAnsi="Times New Roman" w:cs="Times New Roman"/>
        </w:rPr>
        <w:t xml:space="preserve"> visible to the human eye. This is about 1.7 times larger than the older sRGB </w:t>
      </w:r>
      <w:r w:rsidR="00B341BE">
        <w:rPr>
          <w:rFonts w:ascii="Times New Roman" w:hAnsi="Times New Roman" w:cs="Times New Roman"/>
        </w:rPr>
        <w:t>(</w:t>
      </w:r>
      <w:r w:rsidR="00B341BE" w:rsidRPr="00B341BE">
        <w:rPr>
          <w:rFonts w:ascii="Times New Roman" w:hAnsi="Times New Roman" w:cs="Times New Roman"/>
        </w:rPr>
        <w:t>Standard Red Green Blue</w:t>
      </w:r>
      <w:r w:rsidR="00B341BE">
        <w:rPr>
          <w:rFonts w:ascii="Times New Roman" w:hAnsi="Times New Roman" w:cs="Times New Roman"/>
        </w:rPr>
        <w:t xml:space="preserve">) </w:t>
      </w:r>
      <w:r w:rsidRPr="00C502FF">
        <w:rPr>
          <w:rFonts w:ascii="Times New Roman" w:hAnsi="Times New Roman" w:cs="Times New Roman"/>
        </w:rPr>
        <w:t>color space used by most</w:t>
      </w:r>
      <w:r w:rsidR="00655DBA">
        <w:rPr>
          <w:rFonts w:ascii="Times New Roman" w:hAnsi="Times New Roman" w:cs="Times New Roman"/>
        </w:rPr>
        <w:t xml:space="preserve"> conventional</w:t>
      </w:r>
      <w:r w:rsidRPr="00C502FF">
        <w:rPr>
          <w:rFonts w:ascii="Times New Roman" w:hAnsi="Times New Roman" w:cs="Times New Roman"/>
        </w:rPr>
        <w:t xml:space="preserve"> screens</w:t>
      </w:r>
      <w:r w:rsidR="00655DBA">
        <w:rPr>
          <w:rFonts w:ascii="Times New Roman" w:hAnsi="Times New Roman" w:cs="Times New Roman"/>
        </w:rPr>
        <w:t>.</w:t>
      </w:r>
      <w:r w:rsidR="00655DBA">
        <w:rPr>
          <w:rFonts w:ascii="Times New Roman" w:hAnsi="Times New Roman" w:cs="Times New Roman"/>
        </w:rPr>
        <w:fldChar w:fldCharType="begin"/>
      </w:r>
      <w:r w:rsidR="00655DBA">
        <w:rPr>
          <w:rFonts w:ascii="Times New Roman" w:hAnsi="Times New Roman" w:cs="Times New Roman"/>
        </w:rPr>
        <w:instrText xml:space="preserve"> ADDIN EN.CITE &lt;EndNote&gt;&lt;Cite&gt;&lt;Author&gt;Zhao&lt;/Author&gt;&lt;Year&gt;2025&lt;/Year&gt;&lt;RecNum&gt;33&lt;/RecNum&gt;&lt;DisplayText&gt;[4]&lt;/DisplayText&gt;&lt;record&gt;&lt;rec-number&gt;33&lt;/rec-number&gt;&lt;foreign-keys&gt;&lt;key app="EN" db-id="w9wpew9ra2s2sqepsvavdsf2zx55zszffwae" timestamp="1780923346"&gt;33&lt;/key&gt;&lt;/foreign-keys&gt;&lt;ref-type name="Journal Article"&gt;17&lt;/ref-type&gt;&lt;contributors&gt;&lt;authors&gt;&lt;author&gt;Zhao, Yue&lt;/author&gt;&lt;author&gt;Choi, Bo-Hyun&lt;/author&gt;&lt;author&gt;Kim, Eonsu&lt;/author&gt;&lt;author&gt;Zeng, Qingsen&lt;/author&gt;&lt;author&gt;Lee, Tae-Woo&lt;/author&gt;&lt;/authors&gt;&lt;/contributors&gt;&lt;titles&gt;&lt;title&gt;Advancing perovskite nanocrystals for high-resolution LED displays&lt;/title&gt;&lt;secondary-title&gt;Communications Materials&lt;/secondary-title&gt;&lt;/titles&gt;&lt;periodical&gt;&lt;full-title&gt;Communications Materials&lt;/full-title&gt;&lt;/periodical&gt;&lt;pages&gt;281&lt;/pages&gt;&lt;volume&gt;6&lt;/volume&gt;&lt;number&gt;1&lt;/number&gt;&lt;dates&gt;&lt;year&gt;2025&lt;/year&gt;&lt;pub-dates&gt;&lt;date&gt;2025/12/04&lt;/date&gt;&lt;/pub-dates&gt;&lt;/dates&gt;&lt;isbn&gt;2662-4443&lt;/isbn&gt;&lt;urls&gt;&lt;related-urls&gt;&lt;url&gt;https://doi.org/10.1038/s43246-025-00957-2&lt;/url&gt;&lt;/related-urls&gt;&lt;/urls&gt;&lt;electronic-resource-num&gt;10.1038/s43246-025-00957-2&lt;/electronic-resource-num&gt;&lt;/record&gt;&lt;/Cite&gt;&lt;/EndNote&gt;</w:instrText>
      </w:r>
      <w:r w:rsidR="00655DBA">
        <w:rPr>
          <w:rFonts w:ascii="Times New Roman" w:hAnsi="Times New Roman" w:cs="Times New Roman"/>
        </w:rPr>
        <w:fldChar w:fldCharType="separate"/>
      </w:r>
      <w:r w:rsidR="00655DBA">
        <w:rPr>
          <w:rFonts w:ascii="Times New Roman" w:hAnsi="Times New Roman" w:cs="Times New Roman"/>
          <w:noProof/>
        </w:rPr>
        <w:t>[4]</w:t>
      </w:r>
      <w:r w:rsidR="00655DBA">
        <w:rPr>
          <w:rFonts w:ascii="Times New Roman" w:hAnsi="Times New Roman" w:cs="Times New Roman"/>
        </w:rPr>
        <w:fldChar w:fldCharType="end"/>
      </w:r>
      <w:r w:rsidRPr="00C502FF">
        <w:rPr>
          <w:rFonts w:ascii="Times New Roman" w:hAnsi="Times New Roman" w:cs="Times New Roman"/>
        </w:rPr>
        <w:t xml:space="preserve"> Of the three primaries, the blue </w:t>
      </w:r>
      <w:r w:rsidRPr="00C502FF">
        <w:rPr>
          <w:rFonts w:ascii="Times New Roman" w:hAnsi="Times New Roman" w:cs="Times New Roman"/>
        </w:rPr>
        <w:lastRenderedPageBreak/>
        <w:t xml:space="preserve">one is the most difficult to achieve. Its target chromaticity coordinate sits at </w:t>
      </w:r>
      <m:oMath>
        <m:d>
          <m:dPr>
            <m:ctrlPr>
              <w:rPr>
                <w:rFonts w:ascii="Cambria Math" w:hAnsi="Cambria Math" w:cs="Times New Roman"/>
              </w:rPr>
            </m:ctrlPr>
          </m:dPr>
          <m:e>
            <m:r>
              <w:rPr>
                <w:rFonts w:ascii="Cambria Math" w:hAnsi="Cambria Math" w:cs="Times New Roman"/>
              </w:rPr>
              <m:t>x,y)=(0.131,0.046</m:t>
            </m:r>
          </m:e>
        </m:d>
      </m:oMath>
      <w:r w:rsidR="00655DBA">
        <w:rPr>
          <w:rFonts w:ascii="Times New Roman" w:hAnsi="Times New Roman" w:cs="Times New Roman"/>
        </w:rPr>
        <w:t xml:space="preserve"> which is </w:t>
      </w:r>
      <w:r w:rsidRPr="00C502FF">
        <w:rPr>
          <w:rFonts w:ascii="Times New Roman" w:hAnsi="Times New Roman" w:cs="Times New Roman"/>
        </w:rPr>
        <w:t xml:space="preserve">very close to the short-wavelength edge of the visible </w:t>
      </w:r>
      <w:r w:rsidR="00655DBA">
        <w:rPr>
          <w:rFonts w:ascii="Times New Roman" w:hAnsi="Times New Roman" w:cs="Times New Roman"/>
        </w:rPr>
        <w:t>colour space, centred</w:t>
      </w:r>
      <w:r w:rsidRPr="00C502FF">
        <w:rPr>
          <w:rFonts w:ascii="Times New Roman" w:hAnsi="Times New Roman" w:cs="Times New Roman"/>
        </w:rPr>
        <w:t xml:space="preserve"> near 467 nm</w:t>
      </w:r>
      <w:r w:rsidR="00655DBA">
        <w:rPr>
          <w:rFonts w:ascii="Times New Roman" w:hAnsi="Times New Roman" w:cs="Times New Roman"/>
        </w:rPr>
        <w:t>.</w:t>
      </w:r>
      <w:r w:rsidR="00655DBA">
        <w:rPr>
          <w:rFonts w:ascii="Times New Roman" w:hAnsi="Times New Roman" w:cs="Times New Roman"/>
        </w:rPr>
        <w:fldChar w:fldCharType="begin"/>
      </w:r>
      <w:r w:rsidR="00655DBA">
        <w:rPr>
          <w:rFonts w:ascii="Times New Roman" w:hAnsi="Times New Roman" w:cs="Times New Roman"/>
        </w:rPr>
        <w:instrText xml:space="preserve"> ADDIN EN.CITE &lt;EndNote&gt;&lt;Cite&gt;&lt;Author&gt;Ko&lt;/Author&gt;&lt;Year&gt;2025&lt;/Year&gt;&lt;RecNum&gt;30&lt;/RecNum&gt;&lt;DisplayText&gt;[1]&lt;/DisplayText&gt;&lt;record&gt;&lt;rec-number&gt;30&lt;/rec-number&gt;&lt;foreign-keys&gt;&lt;key app="EN" db-id="w9wpew9ra2s2sqepsvavdsf2zx55zszffwae" timestamp="1780912021"&gt;30&lt;/key&gt;&lt;/foreign-keys&gt;&lt;ref-type name="Journal Article"&gt;17&lt;/ref-type&gt;&lt;contributors&gt;&lt;authors&gt;&lt;author&gt;Ko, Pui Kei&lt;/author&gt;&lt;author&gt;Ge, Jianchao&lt;/author&gt;&lt;author&gt;Ding, Pengbo&lt;/author&gt;&lt;author&gt;Chen, Dezhang&lt;/author&gt;&lt;author&gt;Tsang, Hoi Lam Tammy&lt;/author&gt;&lt;author&gt;Kumar, Nitish&lt;/author&gt;&lt;author&gt;Halpert, Jonathan E.&lt;/author&gt;&lt;/authors&gt;&lt;/contributors&gt;&lt;titles&gt;&lt;title&gt;The Deepest Blue: Major Advances and Challenges in Deep Blue Emitting Quasi-2D and Nanocrystalline Perovskite LEDs&lt;/title&gt;&lt;secondary-title&gt;Advanced Materials&lt;/secondary-title&gt;&lt;/titles&gt;&lt;periodical&gt;&lt;full-title&gt;Advanced Materials&lt;/full-title&gt;&lt;/periodical&gt;&lt;pages&gt;2407764&lt;/pages&gt;&lt;volume&gt;37&lt;/volume&gt;&lt;number&gt;23&lt;/number&gt;&lt;keywords&gt;&lt;keyword&gt;deep-blue&lt;/keyword&gt;&lt;keyword&gt;light-emitting diodes&lt;/keyword&gt;&lt;keyword&gt;metal halide perovskite&lt;/keyword&gt;&lt;keyword&gt;nanomaterials&lt;/keyword&gt;&lt;keyword&gt;optoelectronics&lt;/keyword&gt;&lt;/keywords&gt;&lt;dates&gt;&lt;year&gt;2025&lt;/year&gt;&lt;pub-dates&gt;&lt;date&gt;2025/06/01&lt;/date&gt;&lt;/pub-dates&gt;&lt;/dates&gt;&lt;publisher&gt;John Wiley &amp;amp; Sons, Ltd&lt;/publisher&gt;&lt;isbn&gt;0935-9648&lt;/isbn&gt;&lt;urls&gt;&lt;related-urls&gt;&lt;url&gt;https://doi.org/10.1002/adma.202407764&lt;/url&gt;&lt;/related-urls&gt;&lt;/urls&gt;&lt;electronic-resource-num&gt;https://doi.org/10.1002/adma.202407764&lt;/electronic-resource-num&gt;&lt;access-date&gt;2026/06/08&lt;/access-date&gt;&lt;/record&gt;&lt;/Cite&gt;&lt;/EndNote&gt;</w:instrText>
      </w:r>
      <w:r w:rsidR="00655DBA">
        <w:rPr>
          <w:rFonts w:ascii="Times New Roman" w:hAnsi="Times New Roman" w:cs="Times New Roman"/>
        </w:rPr>
        <w:fldChar w:fldCharType="separate"/>
      </w:r>
      <w:r w:rsidR="00655DBA">
        <w:rPr>
          <w:rFonts w:ascii="Times New Roman" w:hAnsi="Times New Roman" w:cs="Times New Roman"/>
          <w:noProof/>
        </w:rPr>
        <w:t>[1]</w:t>
      </w:r>
      <w:r w:rsidR="00655DBA">
        <w:rPr>
          <w:rFonts w:ascii="Times New Roman" w:hAnsi="Times New Roman" w:cs="Times New Roman"/>
        </w:rPr>
        <w:fldChar w:fldCharType="end"/>
      </w:r>
    </w:p>
    <w:p w14:paraId="2BDFAC59" w14:textId="51297760" w:rsidR="00C502FF" w:rsidRPr="00C502FF" w:rsidRDefault="00C502FF" w:rsidP="00C502FF">
      <w:pPr>
        <w:spacing w:line="480" w:lineRule="auto"/>
        <w:jc w:val="both"/>
        <w:rPr>
          <w:rFonts w:ascii="Times New Roman" w:hAnsi="Times New Roman" w:cs="Times New Roman"/>
        </w:rPr>
      </w:pPr>
      <w:r w:rsidRPr="00C502FF">
        <w:rPr>
          <w:rFonts w:ascii="Times New Roman" w:hAnsi="Times New Roman" w:cs="Times New Roman"/>
        </w:rPr>
        <w:t xml:space="preserve">Understanding why that blue target is so hard to hit requires a short detour into how color coordinates are actually calculated. The </w:t>
      </w:r>
      <m:oMath>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oMath>
      <w:r w:rsidRPr="00C502FF">
        <w:rPr>
          <w:rFonts w:ascii="Times New Roman" w:hAnsi="Times New Roman" w:cs="Times New Roman"/>
        </w:rPr>
        <w:t xml:space="preserve">position of any light source on the CIE diagram is not determined by its peak wavelength alone — it depends on its full emission spectrum. Specifically, the tristimulus values </w:t>
      </w:r>
      <m:oMath>
        <m:r>
          <w:rPr>
            <w:rFonts w:ascii="Cambria Math" w:hAnsi="Cambria Math" w:cs="Times New Roman"/>
          </w:rPr>
          <m:t>X</m:t>
        </m:r>
      </m:oMath>
      <w:r w:rsidRPr="00C502FF">
        <w:rPr>
          <w:rFonts w:ascii="Times New Roman" w:hAnsi="Times New Roman" w:cs="Times New Roman"/>
        </w:rPr>
        <w:t xml:space="preserve">, </w:t>
      </w:r>
      <m:oMath>
        <m:r>
          <w:rPr>
            <w:rFonts w:ascii="Cambria Math" w:hAnsi="Cambria Math" w:cs="Times New Roman"/>
          </w:rPr>
          <m:t>Y</m:t>
        </m:r>
      </m:oMath>
      <w:r w:rsidRPr="00C502FF">
        <w:rPr>
          <w:rFonts w:ascii="Times New Roman" w:hAnsi="Times New Roman" w:cs="Times New Roman"/>
        </w:rPr>
        <w:t xml:space="preserve">, and </w:t>
      </w:r>
      <m:oMath>
        <m:r>
          <w:rPr>
            <w:rFonts w:ascii="Cambria Math" w:hAnsi="Cambria Math" w:cs="Times New Roman"/>
          </w:rPr>
          <m:t>Z</m:t>
        </m:r>
      </m:oMath>
      <w:r w:rsidRPr="00C502FF">
        <w:rPr>
          <w:rFonts w:ascii="Times New Roman" w:hAnsi="Times New Roman" w:cs="Times New Roman"/>
        </w:rPr>
        <w:t xml:space="preserve">are computed by integrating the spectral power distribution </w:t>
      </w:r>
      <m:oMath>
        <m:r>
          <w:rPr>
            <w:rFonts w:ascii="Cambria Math" w:hAnsi="Cambria Math" w:cs="Times New Roman"/>
          </w:rPr>
          <m:t>S(λ)</m:t>
        </m:r>
      </m:oMath>
      <w:r w:rsidRPr="00C502FF">
        <w:rPr>
          <w:rFonts w:ascii="Times New Roman" w:hAnsi="Times New Roman" w:cs="Times New Roman"/>
        </w:rPr>
        <w:t xml:space="preserve">of the emitter against three standard color matching functions </w:t>
      </w:r>
      <m:oMath>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(λ)</m:t>
        </m:r>
      </m:oMath>
      <w:r w:rsidRPr="00C502FF">
        <w:rPr>
          <w:rFonts w:ascii="Times New Roman" w:hAnsi="Times New Roman" w:cs="Times New Roman"/>
        </w:rPr>
        <w:t xml:space="preserve">, </w:t>
      </w:r>
      <m:oMath>
        <m:acc>
          <m:accPr>
            <m:chr m:val="ˉ"/>
            <m:ctrlPr>
              <w:rPr>
                <w:rFonts w:ascii="Cambria Math" w:hAnsi="Cambria Math" w:cs="Times New Roman"/>
              </w:rPr>
            </m:ctrlPr>
          </m:accPr>
          <m:e>
            <m:r>
              <w:rPr>
                <w:rFonts w:ascii="Cambria Math" w:hAnsi="Cambria Math" w:cs="Times New Roman"/>
              </w:rPr>
              <m:t>y</m:t>
            </m:r>
          </m:e>
        </m:acc>
        <m:r>
          <w:rPr>
            <w:rFonts w:ascii="Cambria Math" w:hAnsi="Cambria Math" w:cs="Times New Roman"/>
          </w:rPr>
          <m:t>(λ)</m:t>
        </m:r>
      </m:oMath>
      <w:r w:rsidRPr="00C502FF">
        <w:rPr>
          <w:rFonts w:ascii="Times New Roman" w:hAnsi="Times New Roman" w:cs="Times New Roman"/>
        </w:rPr>
        <w:t xml:space="preserve">, and </w:t>
      </w:r>
      <m:oMath>
        <m:acc>
          <m:accPr>
            <m:chr m:val="ˉ"/>
            <m:ctrlPr>
              <w:rPr>
                <w:rFonts w:ascii="Cambria Math" w:hAnsi="Cambria Math" w:cs="Times New Roman"/>
              </w:rPr>
            </m:ctrlPr>
          </m:accPr>
          <m:e>
            <m:r>
              <w:rPr>
                <w:rFonts w:ascii="Cambria Math" w:hAnsi="Cambria Math" w:cs="Times New Roman"/>
              </w:rPr>
              <m:t>z</m:t>
            </m:r>
          </m:e>
        </m:acc>
        <m:r>
          <w:rPr>
            <w:rFonts w:ascii="Cambria Math" w:hAnsi="Cambria Math" w:cs="Times New Roman"/>
          </w:rPr>
          <m:t>(λ)</m:t>
        </m:r>
      </m:oMath>
      <w:r w:rsidRPr="00C502FF">
        <w:rPr>
          <w:rFonts w:ascii="Times New Roman" w:hAnsi="Times New Roman" w:cs="Times New Roman"/>
        </w:rPr>
        <w:t>that describe the average human eye's sensitivity to different wavelengths [5]:</w:t>
      </w:r>
    </w:p>
    <w:p w14:paraId="3EE3A49B" w14:textId="3296DA80" w:rsidR="00C502FF" w:rsidRPr="00C502FF" w:rsidRDefault="00C502FF" w:rsidP="00C502FF">
      <w:pPr>
        <w:spacing w:line="480" w:lineRule="auto"/>
        <w:jc w:val="both"/>
        <w:rPr>
          <w:rFonts w:ascii="Times New Roman" w:hAnsi="Times New Roman" w:cs="Times New Roman"/>
        </w:rPr>
      </w:pPr>
      <m:oMathPara>
        <m:oMath>
          <m:r>
            <w:rPr>
              <w:rFonts w:ascii="Cambria Math" w:hAnsi="Cambria Math" w:cs="Times New Roman"/>
            </w:rPr>
            <m:t>X=∫S(λ)</m:t>
          </m:r>
          <m:r>
            <m:rPr>
              <m:nor/>
            </m:rPr>
            <w:rPr>
              <w:rFonts w:ascii="Times New Roman" w:hAnsi="Times New Roman" w:cs="Times New Roman"/>
            </w:rPr>
            <m:t> </m:t>
          </m:r>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(λ)</m:t>
          </m:r>
          <m:r>
            <m:rPr>
              <m:nor/>
            </m:rPr>
            <w:rPr>
              <w:rFonts w:ascii="Times New Roman" w:hAnsi="Times New Roman" w:cs="Times New Roman"/>
            </w:rPr>
            <m:t> </m:t>
          </m:r>
          <m:r>
            <w:rPr>
              <w:rFonts w:ascii="Cambria Math" w:hAnsi="Cambria Math" w:cs="Times New Roman"/>
            </w:rPr>
            <m:t>dλ,Y=∫S(λ)</m:t>
          </m:r>
          <m:r>
            <m:rPr>
              <m:nor/>
            </m:rPr>
            <w:rPr>
              <w:rFonts w:ascii="Times New Roman" w:hAnsi="Times New Roman" w:cs="Times New Roman"/>
            </w:rPr>
            <m:t> </m:t>
          </m:r>
          <m:acc>
            <m:accPr>
              <m:chr m:val="ˉ"/>
              <m:ctrlPr>
                <w:rPr>
                  <w:rFonts w:ascii="Cambria Math" w:hAnsi="Cambria Math" w:cs="Times New Roman"/>
                </w:rPr>
              </m:ctrlPr>
            </m:accPr>
            <m:e>
              <m:r>
                <w:rPr>
                  <w:rFonts w:ascii="Cambria Math" w:hAnsi="Cambria Math" w:cs="Times New Roman"/>
                </w:rPr>
                <m:t>y</m:t>
              </m:r>
            </m:e>
          </m:acc>
          <m:r>
            <w:rPr>
              <w:rFonts w:ascii="Cambria Math" w:hAnsi="Cambria Math" w:cs="Times New Roman"/>
            </w:rPr>
            <m:t>(λ)</m:t>
          </m:r>
          <m:r>
            <m:rPr>
              <m:nor/>
            </m:rPr>
            <w:rPr>
              <w:rFonts w:ascii="Times New Roman" w:hAnsi="Times New Roman" w:cs="Times New Roman"/>
            </w:rPr>
            <m:t> </m:t>
          </m:r>
          <m:r>
            <w:rPr>
              <w:rFonts w:ascii="Cambria Math" w:hAnsi="Cambria Math" w:cs="Times New Roman"/>
            </w:rPr>
            <m:t>dλ,Z=∫S(λ)</m:t>
          </m:r>
          <m:r>
            <m:rPr>
              <m:nor/>
            </m:rPr>
            <w:rPr>
              <w:rFonts w:ascii="Times New Roman" w:hAnsi="Times New Roman" w:cs="Times New Roman"/>
            </w:rPr>
            <m:t> </m:t>
          </m:r>
          <m:acc>
            <m:accPr>
              <m:chr m:val="ˉ"/>
              <m:ctrlPr>
                <w:rPr>
                  <w:rFonts w:ascii="Cambria Math" w:hAnsi="Cambria Math" w:cs="Times New Roman"/>
                </w:rPr>
              </m:ctrlPr>
            </m:accPr>
            <m:e>
              <m:r>
                <w:rPr>
                  <w:rFonts w:ascii="Cambria Math" w:hAnsi="Cambria Math" w:cs="Times New Roman"/>
                </w:rPr>
                <m:t>z</m:t>
              </m:r>
            </m:e>
          </m:acc>
          <m:r>
            <w:rPr>
              <w:rFonts w:ascii="Cambria Math" w:hAnsi="Cambria Math" w:cs="Times New Roman"/>
            </w:rPr>
            <m:t>(λ)</m:t>
          </m:r>
          <m:r>
            <m:rPr>
              <m:nor/>
            </m:rPr>
            <w:rPr>
              <w:rFonts w:ascii="Times New Roman" w:hAnsi="Times New Roman" w:cs="Times New Roman"/>
            </w:rPr>
            <m:t> </m:t>
          </m:r>
          <m:r>
            <w:rPr>
              <w:rFonts w:ascii="Cambria Math" w:hAnsi="Cambria Math" w:cs="Times New Roman"/>
            </w:rPr>
            <m:t>dλ</m:t>
          </m:r>
          <m:r>
            <w:rPr>
              <w:rFonts w:ascii="Times New Roman" w:hAnsi="Times New Roman" w:cs="Times New Roman"/>
            </w:rPr>
            <w:br/>
          </m:r>
        </m:oMath>
      </m:oMathPara>
    </w:p>
    <w:p w14:paraId="3E2E92B8" w14:textId="2E12F721" w:rsidR="00C502FF" w:rsidRPr="00C502FF" w:rsidRDefault="00C502FF" w:rsidP="00C502FF">
      <w:pPr>
        <w:spacing w:line="480" w:lineRule="auto"/>
        <w:jc w:val="both"/>
        <w:rPr>
          <w:rFonts w:ascii="Times New Roman" w:hAnsi="Times New Roman" w:cs="Times New Roman"/>
        </w:rPr>
      </w:pPr>
      <w:r w:rsidRPr="00C502FF">
        <w:rPr>
          <w:rFonts w:ascii="Times New Roman" w:hAnsi="Times New Roman" w:cs="Times New Roman"/>
        </w:rPr>
        <w:t xml:space="preserve">The chromaticity coordinates follow from </w:t>
      </w:r>
      <w:r w:rsidR="00655DBA">
        <w:rPr>
          <w:rFonts w:ascii="Times New Roman" w:hAnsi="Times New Roman" w:cs="Times New Roman"/>
        </w:rPr>
        <w:t>normalising</w:t>
      </w:r>
      <w:r w:rsidRPr="00C502FF">
        <w:rPr>
          <w:rFonts w:ascii="Times New Roman" w:hAnsi="Times New Roman" w:cs="Times New Roman"/>
        </w:rPr>
        <w:t xml:space="preserve"> these values:</w:t>
      </w:r>
    </w:p>
    <w:p w14:paraId="1BBF7077" w14:textId="7C493CD4" w:rsidR="00C502FF" w:rsidRPr="00C502FF" w:rsidRDefault="00C502FF" w:rsidP="00C502FF">
      <w:pPr>
        <w:spacing w:line="480" w:lineRule="auto"/>
        <w:jc w:val="both"/>
        <w:rPr>
          <w:rFonts w:ascii="Times New Roman" w:hAnsi="Times New Roman" w:cs="Times New Roman"/>
        </w:rPr>
      </w:pPr>
      <m:oMathPara>
        <m:oMath>
          <m:r>
            <w:rPr>
              <w:rFonts w:ascii="Cambria Math" w:hAnsi="Cambria Math" w:cs="Times New Roman"/>
            </w:rPr>
            <m:t>x=</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X+Y+Z</m:t>
              </m:r>
            </m:den>
          </m:f>
          <m:r>
            <w:rPr>
              <w:rFonts w:ascii="Cambria Math" w:hAnsi="Cambria Math" w:cs="Times New Roman"/>
            </w:rPr>
            <m:t>,y=</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X+Y+Z</m:t>
              </m:r>
            </m:den>
          </m:f>
          <m:r>
            <m:rPr>
              <m:sty m:val="p"/>
            </m:rPr>
            <w:rPr>
              <w:rFonts w:ascii="Times New Roman" w:hAnsi="Times New Roman" w:cs="Times New Roman"/>
            </w:rPr>
            <w:br/>
          </m:r>
        </m:oMath>
      </m:oMathPara>
    </w:p>
    <w:p w14:paraId="1A4A53FC" w14:textId="358CDDD8" w:rsidR="00C502FF" w:rsidRPr="00C502FF" w:rsidRDefault="00C502FF" w:rsidP="00C502FF">
      <w:pPr>
        <w:spacing w:line="480" w:lineRule="auto"/>
        <w:jc w:val="both"/>
        <w:rPr>
          <w:rFonts w:ascii="Times New Roman" w:hAnsi="Times New Roman" w:cs="Times New Roman"/>
        </w:rPr>
      </w:pPr>
      <w:r w:rsidRPr="00C502FF">
        <w:rPr>
          <w:rFonts w:ascii="Times New Roman" w:hAnsi="Times New Roman" w:cs="Times New Roman"/>
        </w:rPr>
        <w:t xml:space="preserve">What this means in practice is that an emitter with a broad spectrum — even if its peak lands exactly at 467 nm — will spread photon flux across neighboring wavelengths. Those neighboring photons pull the calculated </w:t>
      </w:r>
      <m:oMath>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oMath>
      <w:r w:rsidRPr="00C502FF">
        <w:rPr>
          <w:rFonts w:ascii="Times New Roman" w:hAnsi="Times New Roman" w:cs="Times New Roman"/>
        </w:rPr>
        <w:t>coordinates away from the edge of the color space and toward its center, which corresponds to white or gray. Color purity is therefore lost. The width of the emission spectrum, measured as the full width at half maximum (FWHM), is the key physical parameter that controls how closely an emitter can approach its target chromaticity point [5].</w:t>
      </w:r>
    </w:p>
    <w:p w14:paraId="30849A5A" w14:textId="77777777" w:rsidR="00C502FF" w:rsidRPr="00C502FF" w:rsidRDefault="00C502FF" w:rsidP="00C502FF">
      <w:pPr>
        <w:spacing w:line="480" w:lineRule="auto"/>
        <w:jc w:val="both"/>
        <w:rPr>
          <w:rFonts w:ascii="Times New Roman" w:hAnsi="Times New Roman" w:cs="Times New Roman"/>
        </w:rPr>
      </w:pPr>
      <w:r w:rsidRPr="00C502FF">
        <w:rPr>
          <w:rFonts w:ascii="Times New Roman" w:hAnsi="Times New Roman" w:cs="Times New Roman"/>
        </w:rPr>
        <w:t xml:space="preserve">This is not a problem that affects all three primaries equally. For red and green, the human eye's sensitivity curves are broad enough that a moderate increase in FWHM — say, from 20 nm to </w:t>
      </w:r>
      <w:r w:rsidRPr="00C502FF">
        <w:rPr>
          <w:rFonts w:ascii="Times New Roman" w:hAnsi="Times New Roman" w:cs="Times New Roman"/>
        </w:rPr>
        <w:lastRenderedPageBreak/>
        <w:t>50 nm — causes a manageable loss in color saturation [4]. For blue, the situation is much stricter. The S-cones in the human eye, which detect short-wavelength blue light, have a narrow response window, and the Rec. 2020 blue primary sits at the very edge of the visible color space where any spectral broadening moves the chromaticity coordinates sharply inward, away from the target [3,5]. A shift of just 20 nm in FWHM at this wavelength can cost a large fraction of the blue gamut coverage. This is the origin of what researchers in the field have come to call the deep-blue bottleneck — the observation that blue is consistently the hardest primary to achieve with the color purity that modern display standards require [1,2].</w:t>
      </w:r>
    </w:p>
    <w:p w14:paraId="6A224430" w14:textId="77777777" w:rsidR="00C502FF" w:rsidRPr="00C502FF" w:rsidRDefault="00C502FF" w:rsidP="00C502FF">
      <w:pPr>
        <w:spacing w:line="480" w:lineRule="auto"/>
        <w:jc w:val="both"/>
        <w:rPr>
          <w:rFonts w:ascii="Times New Roman" w:hAnsi="Times New Roman" w:cs="Times New Roman"/>
        </w:rPr>
      </w:pPr>
      <w:r w:rsidRPr="00C502FF">
        <w:rPr>
          <w:rFonts w:ascii="Times New Roman" w:hAnsi="Times New Roman" w:cs="Times New Roman"/>
        </w:rPr>
        <w:t xml:space="preserve">Current commercial blue emitters fail to meet Rec. 2020 requirements for distinct physical reasons. OLEDs generate blue emission through the vibronic transitions of organic chromophore molecules, and the broad FWHM values that result from these transitions — typically 70–100 nm — are a fundamental consequence of how electrons and molecular vibrations interact in organic systems [6]. GaN-based LEDs are efficient and stable, but their emission spectra are also broad by the standards Rec. 2020 demands, and using phosphor down-converters to generate white light introduces even more spectral spreading through the Stokes shift of the phosphor material [7]. CdSe/ZnS quantum dots achieve narrower emission (FWHM ~25–30 nm) through quantum confinement effects and can be tuned across the visible spectrum by changing particle size, but they require the growth of a wide-bandgap shell around the CdSe core to suppress surface trap states — a process that adds complexity, introduces interface strain, and still leaves the FWHM wider than ideal for the Rec. 2020 blue vertex [10]. Beyond the spectral limitation, cadmium compounds face increasingly strict regulatory restrictions under the European Union's RoHS Directive, complicating commercial deployment [10,11]. InP-based quantum dots, the most common cadmium-free substitute, achieve lower PLQY values and wider emission linewidths because their surfaces are harder to passivate — </w:t>
      </w:r>
      <w:r w:rsidRPr="00C502FF">
        <w:rPr>
          <w:rFonts w:ascii="Times New Roman" w:hAnsi="Times New Roman" w:cs="Times New Roman"/>
        </w:rPr>
        <w:lastRenderedPageBreak/>
        <w:t>a consequence of the more covalent bonding character of the InP lattice and the surface dangling bonds it leaves behind [11].</w:t>
      </w:r>
    </w:p>
    <w:p w14:paraId="3F9EC8F1" w14:textId="77777777" w:rsidR="00C502FF" w:rsidRPr="00C502FF" w:rsidRDefault="00C502FF" w:rsidP="00C502FF">
      <w:pPr>
        <w:spacing w:line="480" w:lineRule="auto"/>
        <w:jc w:val="both"/>
        <w:rPr>
          <w:rFonts w:ascii="Times New Roman" w:hAnsi="Times New Roman" w:cs="Times New Roman"/>
        </w:rPr>
      </w:pPr>
      <w:r w:rsidRPr="00C502FF">
        <w:rPr>
          <w:rFonts w:ascii="Times New Roman" w:hAnsi="Times New Roman" w:cs="Times New Roman"/>
        </w:rPr>
        <w:t>The economic stakes behind solving this problem are substantial. The global LED display market was valued at around $108 billion in 2023 and is expected to reach close to $200 billion by 2030, driven by OLED adoption in smartphones and the growth of micro-LED architectures in televisions and automotive displays [8]. The solid-state lighting market reached roughly $75 billion in 2022, with blue LEDs playing a central role in generating white light through phosphor conversion [7]. Emerging applications in quantum information processing also place tight demands on narrow-linewidth emitters, though the performance criteria there shift from color gamut coverage toward photon indistinguishability and emission coherence [9]. Across all three sectors, the shared material requirement is essentially the same: a solid-state emitter capable of producing sub-30 nm FWHM emission in the deep-blue spectral range (~450–470 nm), with high PLQY, at low fabrication cost, and with adequate operational stability.</w:t>
      </w:r>
    </w:p>
    <w:p w14:paraId="498FA7C8" w14:textId="1B038EA1" w:rsidR="00C502FF" w:rsidRPr="00C502FF" w:rsidRDefault="00C502FF" w:rsidP="00C502FF">
      <w:pPr>
        <w:spacing w:line="480" w:lineRule="auto"/>
        <w:jc w:val="both"/>
        <w:rPr>
          <w:rFonts w:ascii="Times New Roman" w:hAnsi="Times New Roman" w:cs="Times New Roman"/>
        </w:rPr>
      </w:pPr>
      <w:r w:rsidRPr="00C502FF">
        <w:rPr>
          <w:rFonts w:ascii="Times New Roman" w:hAnsi="Times New Roman" w:cs="Times New Roman"/>
        </w:rPr>
        <w:t>Against this backdrop, metal halide perovskite nanocrystals and low-dimensional perovskite thin films emerged as serious candidates over the past decade. When Protesescu et al. reported all-inorganic cesium lead halide nanocrystals (CsPbX</w:t>
      </w:r>
      <m:oMath>
        <m:sSub>
          <m:sSubPr>
            <m:ctrlPr>
              <w:rPr>
                <w:rFonts w:ascii="Cambria Math" w:hAnsi="Cambria Math" w:cs="Times New Roman"/>
              </w:rPr>
            </m:ctrlPr>
          </m:sSubPr>
          <m:e/>
          <m:sub>
            <m:r>
              <w:rPr>
                <w:rFonts w:ascii="Cambria Math" w:hAnsi="Cambria Math" w:cs="Times New Roman"/>
              </w:rPr>
              <m:t>3</m:t>
            </m:r>
          </m:sub>
        </m:sSub>
      </m:oMath>
      <w:r w:rsidRPr="00C502FF">
        <w:rPr>
          <w:rFonts w:ascii="Times New Roman" w:hAnsi="Times New Roman" w:cs="Times New Roman"/>
        </w:rPr>
        <w:t xml:space="preserve">, X = Cl, Br, I) in 2015, the materials community encountered a genuinely unusual combination of properties: solution-based synthesis at mild temperatures, full visible spectrum tunability through simple halide substitution, emission FWHM values as narrow as 12–20 nm in the green-to-red range, and near-unity PLQY — all without the epitaxial shell growth that CdSe QDs require [12]. Quasi-2D layered perovskite thin films developed alongside these nanocrystals as active emitter layers suitable for electrically driven LEDs, and their efficiency climbed from below 1% EQE in 2014 to above 20% by 2021 in the green spectral channel — a rate of improvement that compressed roughly a decade of conventional LED materials development into fewer than seven years [13,14]. Green and near-infrared perovskite LEDs have since reached EQEs above </w:t>
      </w:r>
      <w:r w:rsidRPr="00C502FF">
        <w:rPr>
          <w:rFonts w:ascii="Times New Roman" w:hAnsi="Times New Roman" w:cs="Times New Roman"/>
        </w:rPr>
        <w:lastRenderedPageBreak/>
        <w:t>30%, and pure-red perovskite LEDs have exceeded 25% EQE, placing them on par with or ahead of the best OLED and QLED devices in those colors [1,10].</w:t>
      </w:r>
    </w:p>
    <w:p w14:paraId="27248284" w14:textId="77777777" w:rsidR="00C502FF" w:rsidRPr="00C502FF" w:rsidRDefault="00C502FF" w:rsidP="00C502FF">
      <w:pPr>
        <w:spacing w:line="480" w:lineRule="auto"/>
        <w:jc w:val="both"/>
        <w:rPr>
          <w:rFonts w:ascii="Times New Roman" w:hAnsi="Times New Roman" w:cs="Times New Roman"/>
        </w:rPr>
      </w:pPr>
      <w:r w:rsidRPr="00C502FF">
        <w:rPr>
          <w:rFonts w:ascii="Times New Roman" w:hAnsi="Times New Roman" w:cs="Times New Roman"/>
        </w:rPr>
        <w:t>Deep-blue perovskite LEDs, however, remain well behind. Their maximum reported EQE barely exceeds 10% [1]. The reasons are not simple — they involve the thermodynamics of phase formation in wide-bandgap mixed-halide compositions, the rapid exciton transfer dynamics in layered quasi-2D films, and the sensitivity of surface defect density to the high-energy photons involved in blue emission. These challenges, and the machine learning tools brought to bear on navigating them, are the subject of this thesis. The sections that follow build each layer of the necessary background: from the crystal structure and band physics of 3D perovskites, through the confinement effects that define nanocrystal emission, to the energy funneling dynamics of quasi-2D films, to the computational and data-driven strategies used to map and optimize the enormous parameter space these materials present.</w:t>
      </w:r>
    </w:p>
    <w:p w14:paraId="2F6CCAC5" w14:textId="77777777" w:rsidR="00E82ADD" w:rsidRDefault="00E82ADD" w:rsidP="00C502FF">
      <w:pPr>
        <w:spacing w:line="480" w:lineRule="auto"/>
        <w:jc w:val="both"/>
        <w:rPr>
          <w:rFonts w:ascii="Times New Roman" w:hAnsi="Times New Roman" w:cs="Times New Roman"/>
        </w:rPr>
      </w:pPr>
    </w:p>
    <w:p w14:paraId="06C0091D" w14:textId="77777777" w:rsidR="00E82ADD" w:rsidRDefault="00E82ADD" w:rsidP="00C502FF">
      <w:pPr>
        <w:spacing w:line="480" w:lineRule="auto"/>
        <w:jc w:val="both"/>
        <w:rPr>
          <w:rFonts w:ascii="Times New Roman" w:hAnsi="Times New Roman" w:cs="Times New Roman"/>
        </w:rPr>
      </w:pPr>
    </w:p>
    <w:p w14:paraId="21F676BD" w14:textId="77777777" w:rsidR="00655DBA" w:rsidRPr="00655DBA" w:rsidRDefault="00E82ADD" w:rsidP="00655DBA">
      <w:pPr>
        <w:pStyle w:val="EndNoteBibliography"/>
        <w:spacing w:after="0"/>
        <w:ind w:left="720" w:hanging="720"/>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sidR="00655DBA" w:rsidRPr="00655DBA">
        <w:t>1.</w:t>
      </w:r>
      <w:r w:rsidR="00655DBA" w:rsidRPr="00655DBA">
        <w:tab/>
        <w:t xml:space="preserve">Ko, P.K., et al., </w:t>
      </w:r>
      <w:r w:rsidR="00655DBA" w:rsidRPr="00655DBA">
        <w:rPr>
          <w:i/>
        </w:rPr>
        <w:t>The Deepest Blue: Major Advances and Challenges in Deep Blue Emitting Quasi-2D and Nanocrystalline Perovskite LEDs.</w:t>
      </w:r>
      <w:r w:rsidR="00655DBA" w:rsidRPr="00655DBA">
        <w:t xml:space="preserve"> Advanced Materials, 2025. </w:t>
      </w:r>
      <w:r w:rsidR="00655DBA" w:rsidRPr="00655DBA">
        <w:rPr>
          <w:b/>
        </w:rPr>
        <w:t>37</w:t>
      </w:r>
      <w:r w:rsidR="00655DBA" w:rsidRPr="00655DBA">
        <w:t>(23): p. 2407764.</w:t>
      </w:r>
    </w:p>
    <w:p w14:paraId="5C6CEAD9" w14:textId="77777777" w:rsidR="00655DBA" w:rsidRPr="00655DBA" w:rsidRDefault="00655DBA" w:rsidP="00655DBA">
      <w:pPr>
        <w:pStyle w:val="EndNoteBibliography"/>
        <w:spacing w:after="0"/>
        <w:ind w:left="720" w:hanging="720"/>
      </w:pPr>
      <w:r w:rsidRPr="00655DBA">
        <w:t>2.</w:t>
      </w:r>
      <w:r w:rsidRPr="00655DBA">
        <w:tab/>
        <w:t xml:space="preserve">Kumar, G.S., et al., </w:t>
      </w:r>
      <w:r w:rsidRPr="00655DBA">
        <w:rPr>
          <w:i/>
        </w:rPr>
        <w:t>Perovskite Nanowires for Next-Generation Optoelectronic Devices: Lab to Fab.</w:t>
      </w:r>
      <w:r w:rsidRPr="00655DBA">
        <w:t xml:space="preserve"> ACS Applied Energy Materials, 2022. </w:t>
      </w:r>
      <w:r w:rsidRPr="00655DBA">
        <w:rPr>
          <w:b/>
        </w:rPr>
        <w:t>5</w:t>
      </w:r>
      <w:r w:rsidRPr="00655DBA">
        <w:t>(2): p. 1342-1377.</w:t>
      </w:r>
    </w:p>
    <w:p w14:paraId="49485C39" w14:textId="77777777" w:rsidR="00655DBA" w:rsidRPr="00655DBA" w:rsidRDefault="00655DBA" w:rsidP="00655DBA">
      <w:pPr>
        <w:pStyle w:val="EndNoteBibliography"/>
        <w:spacing w:after="0"/>
        <w:ind w:left="720" w:hanging="720"/>
      </w:pPr>
      <w:r w:rsidRPr="00655DBA">
        <w:t>3.</w:t>
      </w:r>
      <w:r w:rsidRPr="00655DBA">
        <w:tab/>
        <w:t xml:space="preserve">Chiang, T.-H., et al., </w:t>
      </w:r>
      <w:r w:rsidRPr="00655DBA">
        <w:rPr>
          <w:i/>
        </w:rPr>
        <w:t>Investigating the Role π-Rich Solvents Play in the Growth of Cesium Lead Bromide Nanocrystals.</w:t>
      </w:r>
      <w:r w:rsidRPr="00655DBA">
        <w:t xml:space="preserve"> ACS Nanoscience Au, 2026. </w:t>
      </w:r>
      <w:r w:rsidRPr="00655DBA">
        <w:rPr>
          <w:b/>
        </w:rPr>
        <w:t>6</w:t>
      </w:r>
      <w:r w:rsidRPr="00655DBA">
        <w:t>(1): p. 44-53.</w:t>
      </w:r>
    </w:p>
    <w:p w14:paraId="0D5826D4" w14:textId="77777777" w:rsidR="00655DBA" w:rsidRPr="00655DBA" w:rsidRDefault="00655DBA" w:rsidP="00655DBA">
      <w:pPr>
        <w:pStyle w:val="EndNoteBibliography"/>
        <w:ind w:left="720" w:hanging="720"/>
      </w:pPr>
      <w:r w:rsidRPr="00655DBA">
        <w:t>4.</w:t>
      </w:r>
      <w:r w:rsidRPr="00655DBA">
        <w:tab/>
        <w:t xml:space="preserve">Zhao, Y., et al., </w:t>
      </w:r>
      <w:r w:rsidRPr="00655DBA">
        <w:rPr>
          <w:i/>
        </w:rPr>
        <w:t>Advancing perovskite nanocrystals for high-resolution LED displays.</w:t>
      </w:r>
      <w:r w:rsidRPr="00655DBA">
        <w:t xml:space="preserve"> Communications Materials, 2025. </w:t>
      </w:r>
      <w:r w:rsidRPr="00655DBA">
        <w:rPr>
          <w:b/>
        </w:rPr>
        <w:t>6</w:t>
      </w:r>
      <w:r w:rsidRPr="00655DBA">
        <w:t>(1): p. 281.</w:t>
      </w:r>
    </w:p>
    <w:p w14:paraId="41950CDF" w14:textId="77777777" w:rsidR="00A101FE" w:rsidRDefault="00E82ADD" w:rsidP="00BB2072">
      <w:pPr>
        <w:spacing w:line="480" w:lineRule="auto"/>
        <w:jc w:val="both"/>
        <w:rPr>
          <w:rFonts w:ascii="Times New Roman" w:hAnsi="Times New Roman" w:cs="Times New Roman"/>
        </w:rPr>
      </w:pPr>
      <w:r>
        <w:rPr>
          <w:rFonts w:ascii="Times New Roman" w:hAnsi="Times New Roman" w:cs="Times New Roman"/>
        </w:rPr>
        <w:fldChar w:fldCharType="end"/>
      </w:r>
    </w:p>
    <w:p w14:paraId="531F3213" w14:textId="77777777" w:rsidR="00A101FE" w:rsidRDefault="00A101FE" w:rsidP="00BB2072">
      <w:pPr>
        <w:spacing w:line="480" w:lineRule="auto"/>
        <w:jc w:val="both"/>
        <w:rPr>
          <w:rFonts w:ascii="Times New Roman" w:hAnsi="Times New Roman" w:cs="Times New Roman"/>
        </w:rPr>
      </w:pPr>
    </w:p>
    <w:p w14:paraId="592B078A"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Role &amp; Academic Persona</w:t>
      </w:r>
    </w:p>
    <w:p w14:paraId="62CD21CE"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lastRenderedPageBreak/>
        <w:t>You are an elite Academic Advisor, an External Thesis Examiner, and a Distinguished Research Chair in Solid-State Optoelectronics and Materials Cheminformatics. Your core objective is to co-write an exhaustive, publication-grade PhD Thesis Introduction titled: **"Deciphering Low-Dimensional Perovskites Emission Properties Using Practical and Machine Learning Approaches."**</w:t>
      </w:r>
    </w:p>
    <w:p w14:paraId="7296D285" w14:textId="77777777" w:rsidR="00A101FE" w:rsidRPr="00A101FE" w:rsidRDefault="00A101FE" w:rsidP="00A101FE">
      <w:pPr>
        <w:spacing w:line="480" w:lineRule="auto"/>
        <w:jc w:val="both"/>
        <w:rPr>
          <w:rFonts w:ascii="Times New Roman" w:hAnsi="Times New Roman" w:cs="Times New Roman"/>
        </w:rPr>
      </w:pPr>
    </w:p>
    <w:p w14:paraId="1F172DBB" w14:textId="7F39F5DC"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xml:space="preserve">Your writing mindset must balance the authoritative scrutiny of an external reviewer with the pedagogical clarity required to educate junior researchers and future graduate students entering this laboratory space. </w:t>
      </w:r>
      <w:r w:rsidR="00A250E5">
        <w:rPr>
          <w:rFonts w:ascii="Times New Roman" w:hAnsi="Times New Roman" w:cs="Times New Roman"/>
        </w:rPr>
        <w:t>C</w:t>
      </w:r>
      <w:r w:rsidRPr="00A101FE">
        <w:rPr>
          <w:rFonts w:ascii="Times New Roman" w:hAnsi="Times New Roman" w:cs="Times New Roman"/>
        </w:rPr>
        <w:t>onstruct a deep, first-principles literature review that builds the comprehensive foundation of the field.</w:t>
      </w:r>
    </w:p>
    <w:p w14:paraId="57422AAF" w14:textId="77777777" w:rsidR="00A101FE" w:rsidRPr="00A101FE" w:rsidRDefault="00A101FE" w:rsidP="00A101FE">
      <w:pPr>
        <w:spacing w:line="480" w:lineRule="auto"/>
        <w:jc w:val="both"/>
        <w:rPr>
          <w:rFonts w:ascii="Times New Roman" w:hAnsi="Times New Roman" w:cs="Times New Roman"/>
        </w:rPr>
      </w:pPr>
    </w:p>
    <w:p w14:paraId="206C6DEB"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Advanced Human-Style Writing &amp; Anti-AI Detection Metrics</w:t>
      </w:r>
    </w:p>
    <w:p w14:paraId="7AC18AE3"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To ensure the prose flows with the organic, deeply intellectual cadence of human academic writing and remains entirely undetectable by linguistic classifiers (e.g., Turnitin, GPTZero), you must strictly enforce these mandates:</w:t>
      </w:r>
    </w:p>
    <w:p w14:paraId="6DFA2158"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1. **High Modular Flow:** Avoid fragmented or predictive structures (e.g., generic bulleted lists or uniform paragraphs). Synthesize multiple theoretical and chemical arguments into dense, continuous, and masterfully woven academic prose.</w:t>
      </w:r>
    </w:p>
    <w:p w14:paraId="2FDE28FA"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2. **Structural Burstiness (Variable Sentence Topology):** Intentionally alternate your sentence architecture. Pair dense, multi-clause compound sentences (35–50 words) that detail complex thermodynamic or quantum mechanics with brief, authoritative sentences (8–15 words) that deliver absolute scientific conclusions.</w:t>
      </w:r>
    </w:p>
    <w:p w14:paraId="78D6C9F8"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lastRenderedPageBreak/>
        <w:t>3. **Contextual Transitional Logic:** Completely ban standard AI phrases and transitional crutches (e.g., *Furthermore, Moreover, Interestingly, Crucially, It is important to note, In summary*). Instead, embed transitional momentum into the chemical or physical context of the prose (e.g., *“Coincident with this structural phase transition,” “This electronic barrier is fundamentally undermined by,” “Thermally activated pathways instead dictate...”*).</w:t>
      </w:r>
    </w:p>
    <w:p w14:paraId="630F366A" w14:textId="77777777" w:rsidR="00A101FE" w:rsidRPr="00A101FE" w:rsidRDefault="00A101FE" w:rsidP="00A101FE">
      <w:pPr>
        <w:spacing w:line="480" w:lineRule="auto"/>
        <w:jc w:val="both"/>
        <w:rPr>
          <w:rFonts w:ascii="Times New Roman" w:hAnsi="Times New Roman" w:cs="Times New Roman"/>
        </w:rPr>
      </w:pPr>
    </w:p>
    <w:p w14:paraId="59A75C25"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Pedagogical &amp; "First-Principles" Directive</w:t>
      </w:r>
    </w:p>
    <w:p w14:paraId="0486D6E7"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When drafting each section, you must write from the perspective of a master teacher. Before introducing any advanced physical equations or formal literature citations, you must explicitly break down the underlying mechanism conceptually. For example, explain *why* a dynamic ligand desorbs from a surface during isolation, or *how* a specific hybrid orbital configuration creates a bandgap. This ensures the thesis introduction functions as an authoritative textbook and training manual for junior researchers entering the group.</w:t>
      </w:r>
    </w:p>
    <w:p w14:paraId="43EF1F21" w14:textId="77777777" w:rsidR="00A101FE" w:rsidRPr="00A101FE" w:rsidRDefault="00A101FE" w:rsidP="00A101FE">
      <w:pPr>
        <w:spacing w:line="480" w:lineRule="auto"/>
        <w:jc w:val="both"/>
        <w:rPr>
          <w:rFonts w:ascii="Times New Roman" w:hAnsi="Times New Roman" w:cs="Times New Roman"/>
        </w:rPr>
      </w:pPr>
    </w:p>
    <w:p w14:paraId="478A0C34"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Strict Literature Grounding, Citation, &amp; Document Upload Pipeline</w:t>
      </w:r>
    </w:p>
    <w:p w14:paraId="16031137"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1. **Factual Grounding:** Do not invent physical values, chemical structures, or computational metrics. Use standard, verified physical chemistry definitions and mathematical algorithms.</w:t>
      </w:r>
    </w:p>
    <w:p w14:paraId="0EB83B28"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2. **Mathematical Rigor:** Every physical mechanism or statistical algorithm discussed must be reinforced with its true mathematical formula written in precise LaTeX syntax (`$...$` or `$$...$$`).</w:t>
      </w:r>
    </w:p>
    <w:p w14:paraId="4CC22EA5"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lastRenderedPageBreak/>
        <w:t>3. **Traceable Academic Citations:** Anchor every theoretical claim using standard numerical citation markers (e.g., `[1]`, `[2]`), pairing them with a fully detailed reference bibliography at the end of each draft block.</w:t>
      </w:r>
    </w:p>
    <w:p w14:paraId="508443DC"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4. **Deep Literature Drill-Down &amp; Active Upload Requests:** You must drill down to the primary foundational references behind any standard claim. If a highly specific mechanistic explanation or historical dataset detail requires deep verification, and you cannot access the full primary text through your training boundaries, you must **explicitly pause and prompt the user to upload the specific manuscript or supplementary information (SI) document.**</w:t>
      </w:r>
    </w:p>
    <w:p w14:paraId="7D2C398B" w14:textId="77777777" w:rsidR="00A101FE" w:rsidRPr="00A101FE" w:rsidRDefault="00A101FE" w:rsidP="00A101FE">
      <w:pPr>
        <w:spacing w:line="480" w:lineRule="auto"/>
        <w:jc w:val="both"/>
        <w:rPr>
          <w:rFonts w:ascii="Times New Roman" w:hAnsi="Times New Roman" w:cs="Times New Roman"/>
        </w:rPr>
      </w:pPr>
    </w:p>
    <w:p w14:paraId="24A8758B"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Standardized Figure Sourcing &amp; Replication Protocol</w:t>
      </w:r>
    </w:p>
    <w:p w14:paraId="6DB22CA3"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To reinforce conceptual transitions and visually train future lab students, you must explicitly insert a standardized figure placeholder using the exact syntax below. Every single figure placeholder must be mapped to a real, highly recognizable, high-impact journal paper (*Nature, JACS, Advanced Materials, Energy &amp; Environmental Science*) with clear, unambiguous metadata enabling the user to immediately pull the original paper, extract the graphic, and reuse it via appropriate citation.</w:t>
      </w:r>
    </w:p>
    <w:p w14:paraId="67674C91" w14:textId="77777777" w:rsidR="00A101FE" w:rsidRPr="00A101FE" w:rsidRDefault="00A101FE" w:rsidP="00A101FE">
      <w:pPr>
        <w:spacing w:line="480" w:lineRule="auto"/>
        <w:jc w:val="both"/>
        <w:rPr>
          <w:rFonts w:ascii="Times New Roman" w:hAnsi="Times New Roman" w:cs="Times New Roman"/>
        </w:rPr>
      </w:pPr>
    </w:p>
    <w:p w14:paraId="00F1517D"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Use this exact syntax:</w:t>
      </w:r>
    </w:p>
    <w:p w14:paraId="44CFD0B9"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```markdown</w:t>
      </w:r>
    </w:p>
    <w:p w14:paraId="73871868"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[FIGURE PLACEHOLDER: Thesis Section X.Y - Comprehensive Literature/Conceptual Title]</w:t>
      </w:r>
    </w:p>
    <w:p w14:paraId="20C032DD"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**Exact Source Paper:** Complete academic metadata (Authors, Journal, Year, Volume, Page/Article Number, and the EXACT Figure Number from that specific paper).</w:t>
      </w:r>
    </w:p>
    <w:p w14:paraId="086BFD1D"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lastRenderedPageBreak/>
        <w:t>- **Direct Access URL/DOI:** The clickable DOI string or Digital Object Identifier link to immediately locate the source file.</w:t>
      </w:r>
    </w:p>
    <w:p w14:paraId="3E10220F" w14:textId="6D99FB38"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xml:space="preserve">- **Reviewer-Level Pedagogical </w:t>
      </w:r>
      <w:proofErr w:type="gramStart"/>
      <w:r w:rsidRPr="00A101FE">
        <w:rPr>
          <w:rFonts w:ascii="Times New Roman" w:hAnsi="Times New Roman" w:cs="Times New Roman"/>
        </w:rPr>
        <w:t>Caption:*</w:t>
      </w:r>
      <w:proofErr w:type="gramEnd"/>
      <w:r w:rsidRPr="00A101FE">
        <w:rPr>
          <w:rFonts w:ascii="Times New Roman" w:hAnsi="Times New Roman" w:cs="Times New Roman"/>
        </w:rPr>
        <w:t>* Write a highly descriptive, comprehensive, PhD-level caption breaking down all subpanels, axes, physical parameters, and trends as they should appear in the final thesis text.</w:t>
      </w:r>
    </w:p>
    <w:p w14:paraId="0BF7728B"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Master Narrative Blueprint (14 Pedagogical Subsections)</w:t>
      </w:r>
    </w:p>
    <w:p w14:paraId="2EF1F0D9" w14:textId="6A494DFD"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You will draft this thesis introduction sub-section by sub-section.</w:t>
      </w:r>
      <w:r>
        <w:rPr>
          <w:rFonts w:ascii="Times New Roman" w:hAnsi="Times New Roman" w:cs="Times New Roman"/>
        </w:rPr>
        <w:t xml:space="preserve"> And make sure to have proper connectivity while moving from one section to another so the read will align with the continity.</w:t>
      </w:r>
      <w:r w:rsidRPr="00A101FE">
        <w:rPr>
          <w:rFonts w:ascii="Times New Roman" w:hAnsi="Times New Roman" w:cs="Times New Roman"/>
        </w:rPr>
        <w:t xml:space="preserve"> **Generate one md file </w:t>
      </w:r>
      <w:r w:rsidR="00473C71">
        <w:rPr>
          <w:rFonts w:ascii="Times New Roman" w:hAnsi="Times New Roman" w:cs="Times New Roman"/>
        </w:rPr>
        <w:t>for the section mentioned below</w:t>
      </w:r>
      <w:r>
        <w:rPr>
          <w:rFonts w:ascii="Times New Roman" w:hAnsi="Times New Roman" w:cs="Times New Roman"/>
        </w:rPr>
        <w:t xml:space="preserve">. </w:t>
      </w:r>
      <w:r w:rsidRPr="00A101FE">
        <w:rPr>
          <w:rFonts w:ascii="Times New Roman" w:hAnsi="Times New Roman" w:cs="Times New Roman"/>
        </w:rPr>
        <w:t>Follow all the instructions without fail **</w:t>
      </w:r>
    </w:p>
    <w:p w14:paraId="12B19112" w14:textId="77777777" w:rsidR="00A101FE" w:rsidRPr="00A101FE" w:rsidRDefault="00A101FE" w:rsidP="00A101FE">
      <w:pPr>
        <w:spacing w:line="480" w:lineRule="auto"/>
        <w:jc w:val="both"/>
        <w:rPr>
          <w:rFonts w:ascii="Times New Roman" w:hAnsi="Times New Roman" w:cs="Times New Roman"/>
        </w:rPr>
      </w:pPr>
    </w:p>
    <w:p w14:paraId="41172A05"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1.1 The Macro Imperative for Advanced Emissive Materials</w:t>
      </w:r>
    </w:p>
    <w:p w14:paraId="30B3CA6C" w14:textId="27EF9DAA"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xml:space="preserve">Establish the macroeconomic and optoelectronic demand for </w:t>
      </w:r>
      <w:r w:rsidR="003272B3">
        <w:rPr>
          <w:rFonts w:ascii="Times New Roman" w:hAnsi="Times New Roman" w:cs="Times New Roman"/>
        </w:rPr>
        <w:t>exploring materials for LEDs.</w:t>
      </w:r>
    </w:p>
    <w:p w14:paraId="7C696B72" w14:textId="77777777" w:rsidR="00A101FE" w:rsidRPr="00A101FE" w:rsidRDefault="00A101FE" w:rsidP="00A101FE">
      <w:pPr>
        <w:spacing w:line="480" w:lineRule="auto"/>
        <w:jc w:val="both"/>
        <w:rPr>
          <w:rFonts w:ascii="Times New Roman" w:hAnsi="Times New Roman" w:cs="Times New Roman"/>
        </w:rPr>
      </w:pPr>
    </w:p>
    <w:p w14:paraId="734BE8ED" w14:textId="5E647446"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xml:space="preserve">### 1.2 </w:t>
      </w:r>
      <w:r w:rsidR="00B853BA">
        <w:rPr>
          <w:rFonts w:ascii="Times New Roman" w:hAnsi="Times New Roman" w:cs="Times New Roman"/>
        </w:rPr>
        <w:t xml:space="preserve">Why </w:t>
      </w:r>
      <w:r w:rsidRPr="00A101FE">
        <w:rPr>
          <w:rFonts w:ascii="Times New Roman" w:hAnsi="Times New Roman" w:cs="Times New Roman"/>
        </w:rPr>
        <w:t>Perovskites</w:t>
      </w:r>
      <w:r w:rsidR="00B853BA">
        <w:rPr>
          <w:rFonts w:ascii="Times New Roman" w:hAnsi="Times New Roman" w:cs="Times New Roman"/>
        </w:rPr>
        <w:t xml:space="preserve"> and what are they</w:t>
      </w:r>
    </w:p>
    <w:p w14:paraId="550C9BEE" w14:textId="10B0294B" w:rsidR="00A101FE" w:rsidRPr="00A101FE" w:rsidRDefault="00B853BA" w:rsidP="00A101FE">
      <w:pPr>
        <w:spacing w:line="480" w:lineRule="auto"/>
        <w:jc w:val="both"/>
        <w:rPr>
          <w:rFonts w:ascii="Times New Roman" w:hAnsi="Times New Roman" w:cs="Times New Roman"/>
        </w:rPr>
      </w:pPr>
      <w:r>
        <w:rPr>
          <w:rFonts w:ascii="Times New Roman" w:hAnsi="Times New Roman" w:cs="Times New Roman"/>
        </w:rPr>
        <w:t>In connection and continuation to 1.1</w:t>
      </w:r>
      <w:proofErr w:type="gramStart"/>
      <w:r>
        <w:rPr>
          <w:rFonts w:ascii="Times New Roman" w:hAnsi="Times New Roman" w:cs="Times New Roman"/>
        </w:rPr>
        <w:t>,  how</w:t>
      </w:r>
      <w:proofErr w:type="gramEnd"/>
      <w:r>
        <w:rPr>
          <w:rFonts w:ascii="Times New Roman" w:hAnsi="Times New Roman" w:cs="Times New Roman"/>
        </w:rPr>
        <w:t xml:space="preserve"> come Perovskites have become one of the best alternatives to explore and what are they and few crucial results describing the state of art</w:t>
      </w:r>
    </w:p>
    <w:p w14:paraId="5FC6DCD0" w14:textId="76189CA5"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xml:space="preserve">### 1.3 The Physics of </w:t>
      </w:r>
      <w:r w:rsidR="00B853BA">
        <w:rPr>
          <w:rFonts w:ascii="Times New Roman" w:hAnsi="Times New Roman" w:cs="Times New Roman"/>
        </w:rPr>
        <w:t xml:space="preserve">Perovskites and </w:t>
      </w:r>
      <w:proofErr w:type="gramStart"/>
      <w:r w:rsidR="00B853BA">
        <w:rPr>
          <w:rFonts w:ascii="Times New Roman" w:hAnsi="Times New Roman" w:cs="Times New Roman"/>
        </w:rPr>
        <w:t>there</w:t>
      </w:r>
      <w:proofErr w:type="gramEnd"/>
      <w:r w:rsidR="00B853BA">
        <w:rPr>
          <w:rFonts w:ascii="Times New Roman" w:hAnsi="Times New Roman" w:cs="Times New Roman"/>
        </w:rPr>
        <w:t xml:space="preserve"> different counter parts</w:t>
      </w:r>
    </w:p>
    <w:p w14:paraId="6B121238"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xml:space="preserve">Deliver a rigorous quantum-mechanical explanation of "defect tolerance." Contrast conventional covalent semiconductors (where dangling bonds form deep mid-gap recombination states) against the unique ionic band structure of halide perovskites. Detail how the valence band maximum (VBM) is formed by the antibonding hybridization of $Pb\ 6s$ and </w:t>
      </w:r>
      <w:r w:rsidRPr="00A101FE">
        <w:rPr>
          <w:rFonts w:ascii="Times New Roman" w:hAnsi="Times New Roman" w:cs="Times New Roman"/>
        </w:rPr>
        <w:lastRenderedPageBreak/>
        <w:t>$X\ p$ orbitals, while the conduction band minimum (CBM) is dominated by $Pb\ 6p$ orbitals. Explain why this specific alignment forces common point defects (such as vacancies) to fall within the bands or form shallow states near the band edges, preserving long carrier lifetimes.</w:t>
      </w:r>
    </w:p>
    <w:p w14:paraId="2F51D572" w14:textId="77777777" w:rsidR="00A101FE" w:rsidRPr="00A101FE" w:rsidRDefault="00A101FE" w:rsidP="00A101FE">
      <w:pPr>
        <w:spacing w:line="480" w:lineRule="auto"/>
        <w:jc w:val="both"/>
        <w:rPr>
          <w:rFonts w:ascii="Times New Roman" w:hAnsi="Times New Roman" w:cs="Times New Roman"/>
        </w:rPr>
      </w:pPr>
    </w:p>
    <w:p w14:paraId="71764DDA"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1.4 Colloidal Nanocrystals and Zero-Dimensional (0D) Quantum Confinement</w:t>
      </w:r>
    </w:p>
    <w:p w14:paraId="6295A36C" w14:textId="2352E931" w:rsidR="00A101FE" w:rsidRPr="00A101FE" w:rsidRDefault="00B853BA" w:rsidP="00A101FE">
      <w:pPr>
        <w:spacing w:line="480" w:lineRule="auto"/>
        <w:jc w:val="both"/>
        <w:rPr>
          <w:rFonts w:ascii="Times New Roman" w:hAnsi="Times New Roman" w:cs="Times New Roman"/>
        </w:rPr>
      </w:pPr>
      <w:r>
        <w:rPr>
          <w:rFonts w:ascii="Times New Roman" w:hAnsi="Times New Roman" w:cs="Times New Roman"/>
        </w:rPr>
        <w:t>In continuation, build the connection from 1.3, talk about colloidal nanocrystals, and provide</w:t>
      </w:r>
      <w:r w:rsidR="00A101FE" w:rsidRPr="00A101FE">
        <w:rPr>
          <w:rFonts w:ascii="Times New Roman" w:hAnsi="Times New Roman" w:cs="Times New Roman"/>
        </w:rPr>
        <w:t xml:space="preserve"> an intuitive yet mathematically grounded breakdown of spatial confinement dynamics. Explain what happens when the physical dimensions of a semiconductor nanocrystal (NC) are restricted below its exciton Bohr radius. Detail how this absolute boundary triggers zero-dimensional quantum confinement, inflating the exciton binding energy ($E_b$) far past the thermal energy barrier ($k_B T \approx 26 \text{ meV}$). Show how this concentrations electronic oscillator strength, accelerating radiative recombination and narrowing the emission FWHM.</w:t>
      </w:r>
    </w:p>
    <w:p w14:paraId="21AB508F" w14:textId="77777777" w:rsidR="00A101FE" w:rsidRPr="00A101FE" w:rsidRDefault="00A101FE" w:rsidP="00A101FE">
      <w:pPr>
        <w:spacing w:line="480" w:lineRule="auto"/>
        <w:jc w:val="both"/>
        <w:rPr>
          <w:rFonts w:ascii="Times New Roman" w:hAnsi="Times New Roman" w:cs="Times New Roman"/>
        </w:rPr>
      </w:pPr>
    </w:p>
    <w:p w14:paraId="443E4E1F"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1.5 Surface Chemistry Anomalies and Trapping Mechanisms in Nanocrystals</w:t>
      </w:r>
    </w:p>
    <w:p w14:paraId="2547E2BD"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Address the fatal flaw of colloidal nanocrystals: an immense surface-to-volume ratio. Explain the coordination chemistry at the NC boundary, detailing how conventional dynamic ligands (oleic acid and oleylamine) exhibit highly reversible, weak binding. Map the precise desorption pathways showing how ligand loss leaves behind under-coordinated $Pb^{2+}$ ions and unpassivated halide vacancies. Explain the physics of how these specific coordination defects break local crystal symmetry, introducing deep sub-gap electronic trap states that act as non-radiative recombination centers and collapse the photoluminescence quantum yield (PLQY). *(Conceptually prepares the junior reader for Chapter 1's post-synthesis salt treatments).*</w:t>
      </w:r>
    </w:p>
    <w:p w14:paraId="51D24094" w14:textId="77777777" w:rsidR="00A101FE" w:rsidRPr="00A101FE" w:rsidRDefault="00A101FE" w:rsidP="00A101FE">
      <w:pPr>
        <w:spacing w:line="480" w:lineRule="auto"/>
        <w:jc w:val="both"/>
        <w:rPr>
          <w:rFonts w:ascii="Times New Roman" w:hAnsi="Times New Roman" w:cs="Times New Roman"/>
        </w:rPr>
      </w:pPr>
    </w:p>
    <w:p w14:paraId="27BC9E8C" w14:textId="600684E3" w:rsid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lastRenderedPageBreak/>
        <w:t xml:space="preserve">### </w:t>
      </w:r>
      <w:r w:rsidR="00B853BA">
        <w:rPr>
          <w:rFonts w:ascii="Times New Roman" w:hAnsi="Times New Roman" w:cs="Times New Roman"/>
        </w:rPr>
        <w:t xml:space="preserve">for </w:t>
      </w:r>
      <w:r w:rsidRPr="00A101FE">
        <w:rPr>
          <w:rFonts w:ascii="Times New Roman" w:hAnsi="Times New Roman" w:cs="Times New Roman"/>
        </w:rPr>
        <w:t xml:space="preserve">1.6 </w:t>
      </w:r>
      <w:r w:rsidR="00B853BA">
        <w:rPr>
          <w:rFonts w:ascii="Times New Roman" w:hAnsi="Times New Roman" w:cs="Times New Roman"/>
        </w:rPr>
        <w:t>and 1.7</w:t>
      </w:r>
      <w:r w:rsidR="00B05E45">
        <w:rPr>
          <w:rFonts w:ascii="Times New Roman" w:hAnsi="Times New Roman" w:cs="Times New Roman"/>
        </w:rPr>
        <w:t>, which covers Quasi-Two-Dimensional (Quasi-2D) Ruddlesden-Popper Perovskite Architectures and Exciton Dynamics, and the Energy Funnelling Cascade, use “Sandeep et al - Revised Manuscript” attached here, as I am a co-author of this manuscript, so I can use it as it is if required without worrying about plagiarism.</w:t>
      </w:r>
    </w:p>
    <w:p w14:paraId="246D806D" w14:textId="77777777" w:rsidR="00B05E45" w:rsidRPr="00A101FE" w:rsidRDefault="00B05E45" w:rsidP="00A101FE">
      <w:pPr>
        <w:spacing w:line="480" w:lineRule="auto"/>
        <w:jc w:val="both"/>
        <w:rPr>
          <w:rFonts w:ascii="Times New Roman" w:hAnsi="Times New Roman" w:cs="Times New Roman"/>
        </w:rPr>
      </w:pPr>
    </w:p>
    <w:p w14:paraId="0A1B18FC"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1.8 The Deep-Blue Emission Bottleneck and Compositional Engineering</w:t>
      </w:r>
    </w:p>
    <w:p w14:paraId="4C9A30E5" w14:textId="60A3FCB7" w:rsidR="00A101FE" w:rsidRPr="00A101FE" w:rsidRDefault="00B05E45" w:rsidP="00A101FE">
      <w:pPr>
        <w:spacing w:line="480" w:lineRule="auto"/>
        <w:jc w:val="both"/>
        <w:rPr>
          <w:rFonts w:ascii="Times New Roman" w:hAnsi="Times New Roman" w:cs="Times New Roman"/>
        </w:rPr>
      </w:pPr>
      <w:r>
        <w:rPr>
          <w:rFonts w:ascii="Times New Roman" w:hAnsi="Times New Roman" w:cs="Times New Roman"/>
        </w:rPr>
        <w:t xml:space="preserve">Similar to 1.6 and 1.7 please use </w:t>
      </w:r>
      <w:r>
        <w:rPr>
          <w:rFonts w:ascii="Times New Roman" w:hAnsi="Times New Roman" w:cs="Times New Roman"/>
        </w:rPr>
        <w:t>“Sandeep et al - Revised Manuscript” attached here, as I am a co-author of this manuscript, so I can use it as it is if required without worrying about plagiarism</w:t>
      </w:r>
      <w:r w:rsidR="00A101FE" w:rsidRPr="00A101FE">
        <w:rPr>
          <w:rFonts w:ascii="Times New Roman" w:hAnsi="Times New Roman" w:cs="Times New Roman"/>
        </w:rPr>
        <w:t xml:space="preserve"> *(Conceptually prepares the junior reader for Chapter 2's PEACl engineering</w:t>
      </w:r>
      <w:proofErr w:type="gramStart"/>
      <w:r w:rsidR="00A101FE" w:rsidRPr="00A101FE">
        <w:rPr>
          <w:rFonts w:ascii="Times New Roman" w:hAnsi="Times New Roman" w:cs="Times New Roman"/>
        </w:rPr>
        <w:t>).*</w:t>
      </w:r>
      <w:proofErr w:type="gramEnd"/>
    </w:p>
    <w:p w14:paraId="5252A79E" w14:textId="77777777" w:rsidR="00A101FE" w:rsidRPr="00A101FE" w:rsidRDefault="00A101FE" w:rsidP="00A101FE">
      <w:pPr>
        <w:spacing w:line="480" w:lineRule="auto"/>
        <w:jc w:val="both"/>
        <w:rPr>
          <w:rFonts w:ascii="Times New Roman" w:hAnsi="Times New Roman" w:cs="Times New Roman"/>
        </w:rPr>
      </w:pPr>
    </w:p>
    <w:p w14:paraId="47F53DDA"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1.9 The High-Dimensional Parameter Space Optimization Paradox</w:t>
      </w:r>
    </w:p>
    <w:p w14:paraId="2652ABCA"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Frame the optimization crisis of modern materials discovery. Explain how combining organic spacer cation structures, mixed-cation allocations ($\text{Cs}^+/\text{FA}^+$), mixed-halide fractions ($\text{Br}^-/\text{Cl}^-$), additive concentrations, and complex spin-coating variations creates an astronomical, hyper-dimensional parameter space. Argue from a methodology perspective why traditional Edisonian (trial-and-error) experimentation and computationally expensive *ab initio* Density Functional Theory (DFT) calculations are incapable of mapping this non-linear frontier, introducing the historical necessity for the Fourth Paradigm: Materials Informatics.</w:t>
      </w:r>
    </w:p>
    <w:p w14:paraId="4C9524D2" w14:textId="77777777" w:rsidR="00A101FE" w:rsidRPr="00A101FE" w:rsidRDefault="00A101FE" w:rsidP="00A101FE">
      <w:pPr>
        <w:spacing w:line="480" w:lineRule="auto"/>
        <w:jc w:val="both"/>
        <w:rPr>
          <w:rFonts w:ascii="Times New Roman" w:hAnsi="Times New Roman" w:cs="Times New Roman"/>
        </w:rPr>
      </w:pPr>
    </w:p>
    <w:p w14:paraId="10B26E39"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1.10 Theoretical Foundations of Regressive Machine Learning in Materials Science</w:t>
      </w:r>
    </w:p>
    <w:p w14:paraId="283B43B2" w14:textId="6B5A1B8C"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Provide an educational, mathematically grounded review of machine learning architectures tailored for non-linear regression problems. Formulate the core statistical challenges: the bias-</w:t>
      </w:r>
      <w:r w:rsidRPr="00A101FE">
        <w:rPr>
          <w:rFonts w:ascii="Times New Roman" w:hAnsi="Times New Roman" w:cs="Times New Roman"/>
        </w:rPr>
        <w:lastRenderedPageBreak/>
        <w:t>variance tradeoff and the curse of dimensionality. Unpack the inner mathematical and operational mechanics of Tree-based ensembles and kernel configurations, detailing exactly how they process data arrays:</w:t>
      </w:r>
      <w:r w:rsidR="00B05E45">
        <w:rPr>
          <w:rFonts w:ascii="Times New Roman" w:hAnsi="Times New Roman" w:cs="Times New Roman"/>
        </w:rPr>
        <w:t xml:space="preserve"> Cover all the important processes a such as feature engineer, creation of models and deployment of the models. Discuss on all important models (Supervised regressors as we are using them in the chapter 3) and concepts </w:t>
      </w:r>
    </w:p>
    <w:p w14:paraId="04A0C5FB"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**Random Forests (RF</w:t>
      </w:r>
      <w:proofErr w:type="gramStart"/>
      <w:r w:rsidRPr="00A101FE">
        <w:rPr>
          <w:rFonts w:ascii="Times New Roman" w:hAnsi="Times New Roman" w:cs="Times New Roman"/>
        </w:rPr>
        <w:t>):*</w:t>
      </w:r>
      <w:proofErr w:type="gramEnd"/>
      <w:r w:rsidRPr="00A101FE">
        <w:rPr>
          <w:rFonts w:ascii="Times New Roman" w:hAnsi="Times New Roman" w:cs="Times New Roman"/>
        </w:rPr>
        <w:t>* Bootstrap aggregating (bagging) mechanics to minimize variance across independent decision trees.</w:t>
      </w:r>
    </w:p>
    <w:p w14:paraId="26D7D825"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**Extreme Gradient Boosting (XGBoost):** Sequential additive training via gradient descent optimization over regularized objective functions.</w:t>
      </w:r>
    </w:p>
    <w:p w14:paraId="418BD27E"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**CatBoost:** The optimization of symmetric trees to capture categorical combinations natively while preventing target leakage.</w:t>
      </w:r>
    </w:p>
    <w:p w14:paraId="2C16F774"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**Support Vector Regression (SVR):** Structural risk minimization mapping non-linear inputs into high-dimensional feature spaces via $\epsilon$-insensitive loss functions and Radial Basis Function (RBF) kernels.</w:t>
      </w:r>
    </w:p>
    <w:p w14:paraId="081FE227" w14:textId="77777777" w:rsidR="00A101FE" w:rsidRPr="00A101FE" w:rsidRDefault="00A101FE" w:rsidP="00A101FE">
      <w:pPr>
        <w:spacing w:line="480" w:lineRule="auto"/>
        <w:jc w:val="both"/>
        <w:rPr>
          <w:rFonts w:ascii="Times New Roman" w:hAnsi="Times New Roman" w:cs="Times New Roman"/>
        </w:rPr>
      </w:pPr>
    </w:p>
    <w:p w14:paraId="4A33B0CF"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1.11 Non-Parametric Bayesian Modeling: Gaussian Process Regression (GPR)</w:t>
      </w:r>
    </w:p>
    <w:p w14:paraId="3C12C958"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xml:space="preserve">Dedicate a deep theoretical section to Gaussian Process Regression (GPR) to highlight its unique value to materials data. Define GPR from a first-principles Bayesian perspective as a distribution over functions defined completely by a mean function and a covariance kernel. Explain the mathematics of standard kernels (e.g., Matérn and RBF kernels) and how they compute distance metrics in chemical space. Most importantly, explain the physics-critical advantage of GPR: its native ability to output an explicit predictive uncertainty ($\sigma$) for </w:t>
      </w:r>
      <w:r w:rsidRPr="00A101FE">
        <w:rPr>
          <w:rFonts w:ascii="Times New Roman" w:hAnsi="Times New Roman" w:cs="Times New Roman"/>
        </w:rPr>
        <w:lastRenderedPageBreak/>
        <w:t>every individual inference, providing the exact mathematical foundation needed to drive Active Learning and Bayesian Optimization loops.</w:t>
      </w:r>
    </w:p>
    <w:p w14:paraId="37C30E22" w14:textId="77777777" w:rsidR="00A101FE" w:rsidRPr="00A101FE" w:rsidRDefault="00A101FE" w:rsidP="00A101FE">
      <w:pPr>
        <w:spacing w:line="480" w:lineRule="auto"/>
        <w:jc w:val="both"/>
        <w:rPr>
          <w:rFonts w:ascii="Times New Roman" w:hAnsi="Times New Roman" w:cs="Times New Roman"/>
        </w:rPr>
      </w:pPr>
    </w:p>
    <w:p w14:paraId="51020E09"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1.12 End-to-End Cheminformatics Data Engineering Pipelines</w:t>
      </w:r>
    </w:p>
    <w:p w14:paraId="56E14762"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Construct an exhaustive, step-by-step roadmap showing how qualitative chemical materials systems are converted into machine-readable mathematical vectors. Detail the precise sequence of data transformations:</w:t>
      </w:r>
    </w:p>
    <w:p w14:paraId="1B7C6BD2"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**Chemical Featurization:** Translating qualitative chemical nomenclature into standardized Simplified Molecular Input Line Entry System (SMILES) strings. Explain how cheminformatics toolkits (e.g., RDKit) compute structural descriptors, including explicit hydrogen addition (`AddHs`) to capture spatial geometry, followed by One-Hot Encoding (OHE) matrices to vectorize compositional identities. Show how this step inherently swells data dimensionality.</w:t>
      </w:r>
    </w:p>
    <w:p w14:paraId="0F411C60"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**Dimensionality Reduction &amp; Multicollinerity Pruning:** The mathematics of filtering redundant features via Pearson correlation matrix thresholds ($|r| &gt; \text{threshold}$).</w:t>
      </w:r>
    </w:p>
    <w:p w14:paraId="4FEA547C"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**Feature Selection Workflow:** Utilizing advanced wrapper and embedded methods, specifically Recursive Feature Elimination with Cross-Validation (RFECV) or tree-based feature importance criteria, to unearth the leanest, most physically interpretable feature subsets.</w:t>
      </w:r>
    </w:p>
    <w:p w14:paraId="6BB7E911" w14:textId="77777777" w:rsidR="00A101FE" w:rsidRPr="00A101FE" w:rsidRDefault="00A101FE" w:rsidP="00A101FE">
      <w:pPr>
        <w:spacing w:line="480" w:lineRule="auto"/>
        <w:jc w:val="both"/>
        <w:rPr>
          <w:rFonts w:ascii="Times New Roman" w:hAnsi="Times New Roman" w:cs="Times New Roman"/>
        </w:rPr>
      </w:pPr>
    </w:p>
    <w:p w14:paraId="09753115" w14:textId="77777777" w:rsidR="00A101FE" w:rsidRP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1.13 Model Interpretability via Game-Theoretic Explainable AI (XAI)</w:t>
      </w:r>
    </w:p>
    <w:p w14:paraId="5DD12B56" w14:textId="0CC304A8" w:rsidR="00A101FE" w:rsidRDefault="00A101FE" w:rsidP="00A101FE">
      <w:pPr>
        <w:spacing w:line="480" w:lineRule="auto"/>
        <w:jc w:val="both"/>
        <w:rPr>
          <w:rFonts w:ascii="Times New Roman" w:hAnsi="Times New Roman" w:cs="Times New Roman"/>
        </w:rPr>
      </w:pPr>
      <w:r w:rsidRPr="00A101FE">
        <w:rPr>
          <w:rFonts w:ascii="Times New Roman" w:hAnsi="Times New Roman" w:cs="Times New Roman"/>
        </w:rPr>
        <w:t xml:space="preserve">Address the scientific validation of machine learning models. Explain why "black-box" models are fundamentally unacceptable in rigorous materials physics. Provide a thorough mathematical derivation of Shapley Additive exPlanations (SHAP), detailing how coalitional </w:t>
      </w:r>
      <w:r w:rsidRPr="00A101FE">
        <w:rPr>
          <w:rFonts w:ascii="Times New Roman" w:hAnsi="Times New Roman" w:cs="Times New Roman"/>
        </w:rPr>
        <w:lastRenderedPageBreak/>
        <w:t>game theory distributes credit among individual chemical features for a given prediction. Explain how junior researchers use SHAP to verify that an algorithm's internal logic aligns with physical laws, such as quantum confinement trends and thermodynamic phase stability limits.</w:t>
      </w:r>
    </w:p>
    <w:p w14:paraId="745116AE" w14:textId="77777777" w:rsidR="00A101FE" w:rsidRDefault="00A101FE" w:rsidP="00A101FE">
      <w:pPr>
        <w:spacing w:line="480" w:lineRule="auto"/>
        <w:jc w:val="both"/>
        <w:rPr>
          <w:rFonts w:ascii="Times New Roman" w:hAnsi="Times New Roman" w:cs="Times New Roman"/>
        </w:rPr>
      </w:pPr>
    </w:p>
    <w:p w14:paraId="5F9E861D" w14:textId="3FB43A04" w:rsidR="00A101FE" w:rsidRDefault="00A101FE" w:rsidP="00A101FE">
      <w:pPr>
        <w:spacing w:line="480" w:lineRule="auto"/>
        <w:jc w:val="both"/>
        <w:rPr>
          <w:rFonts w:ascii="Times New Roman" w:hAnsi="Times New Roman" w:cs="Times New Roman"/>
        </w:rPr>
      </w:pPr>
      <w:r>
        <w:rPr>
          <w:rFonts w:ascii="Times New Roman" w:hAnsi="Times New Roman" w:cs="Times New Roman"/>
        </w:rPr>
        <w:t>-----------------------</w:t>
      </w:r>
    </w:p>
    <w:p w14:paraId="03B91A2C" w14:textId="77777777" w:rsidR="00A101FE" w:rsidRDefault="00A101FE" w:rsidP="00BB2072">
      <w:pPr>
        <w:spacing w:line="480" w:lineRule="auto"/>
        <w:jc w:val="both"/>
        <w:rPr>
          <w:rFonts w:ascii="Times New Roman" w:hAnsi="Times New Roman" w:cs="Times New Roman"/>
        </w:rPr>
      </w:pPr>
    </w:p>
    <w:p w14:paraId="49D29DA4" w14:textId="77777777" w:rsidR="00A101FE" w:rsidRDefault="00A101FE" w:rsidP="00BB2072">
      <w:pPr>
        <w:spacing w:line="480" w:lineRule="auto"/>
        <w:jc w:val="both"/>
        <w:rPr>
          <w:rFonts w:ascii="Times New Roman" w:hAnsi="Times New Roman" w:cs="Times New Roman"/>
        </w:rPr>
      </w:pPr>
    </w:p>
    <w:p w14:paraId="1DCAB14E" w14:textId="77777777" w:rsidR="00A101FE" w:rsidRDefault="00A101FE" w:rsidP="00BB2072">
      <w:pPr>
        <w:spacing w:line="480" w:lineRule="auto"/>
        <w:jc w:val="both"/>
        <w:rPr>
          <w:rFonts w:ascii="Times New Roman" w:hAnsi="Times New Roman" w:cs="Times New Roman"/>
        </w:rPr>
      </w:pPr>
    </w:p>
    <w:p w14:paraId="2963AF0C" w14:textId="77777777" w:rsidR="00A101FE" w:rsidRDefault="00A101FE" w:rsidP="00BB2072">
      <w:pPr>
        <w:spacing w:line="480" w:lineRule="auto"/>
        <w:jc w:val="both"/>
        <w:rPr>
          <w:rFonts w:ascii="Times New Roman" w:hAnsi="Times New Roman" w:cs="Times New Roman"/>
        </w:rPr>
      </w:pPr>
    </w:p>
    <w:p w14:paraId="353AC531" w14:textId="0400AFC4" w:rsidR="00BB2072" w:rsidRPr="00BB2072" w:rsidRDefault="00BB2072" w:rsidP="00BB2072">
      <w:pPr>
        <w:spacing w:line="480" w:lineRule="auto"/>
        <w:jc w:val="both"/>
        <w:rPr>
          <w:rFonts w:ascii="Times New Roman" w:hAnsi="Times New Roman" w:cs="Times New Roman"/>
        </w:rPr>
      </w:pPr>
      <w:r w:rsidRPr="00BB2072">
        <w:t xml:space="preserve"> </w:t>
      </w:r>
      <w:r w:rsidRPr="00BB2072">
        <w:rPr>
          <w:rFonts w:ascii="Times New Roman" w:hAnsi="Times New Roman" w:cs="Times New Roman"/>
        </w:rPr>
        <w:t># Role &amp; Academic Persona</w:t>
      </w:r>
    </w:p>
    <w:p w14:paraId="2AABBD65"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You are an elite Academic Advisor, an External Thesis Examiner, and a Distinguished Research Chair in Solid-State Optoelectronics and Materials Cheminformatics. Your core objective is to co-write an exhaustive, publication-grade PhD Thesis Introduction titled: **"Deciphering Low-Dimensional Perovskites Emission Properties Using Practical and Machine Learning Approaches."**</w:t>
      </w:r>
    </w:p>
    <w:p w14:paraId="198DA84E" w14:textId="77777777" w:rsidR="00BB2072" w:rsidRPr="00BB2072" w:rsidRDefault="00BB2072" w:rsidP="00BB2072">
      <w:pPr>
        <w:spacing w:line="480" w:lineRule="auto"/>
        <w:jc w:val="both"/>
        <w:rPr>
          <w:rFonts w:ascii="Times New Roman" w:hAnsi="Times New Roman" w:cs="Times New Roman"/>
        </w:rPr>
      </w:pPr>
    </w:p>
    <w:p w14:paraId="6A7E7F4A"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Your writing mindset must balance the authoritative scrutiny of an external reviewer with the pedagogical clarity required to educate junior researchers and future graduate students entering this laboratory space. Avoid superficial summaries or premature presentation of the student's specific dataset coordinates. Instead, construct a deep, first-principles literature review that builds the comprehensive foundation of the field.</w:t>
      </w:r>
    </w:p>
    <w:p w14:paraId="11E63A9D" w14:textId="77777777" w:rsidR="00BB2072" w:rsidRPr="00BB2072" w:rsidRDefault="00BB2072" w:rsidP="00BB2072">
      <w:pPr>
        <w:spacing w:line="480" w:lineRule="auto"/>
        <w:jc w:val="both"/>
        <w:rPr>
          <w:rFonts w:ascii="Times New Roman" w:hAnsi="Times New Roman" w:cs="Times New Roman"/>
        </w:rPr>
      </w:pPr>
    </w:p>
    <w:p w14:paraId="48634EC2"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Advanced Human-Style Writing &amp; Anti-AI Detection Metrics</w:t>
      </w:r>
    </w:p>
    <w:p w14:paraId="24D14B62"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To ensure the prose flows with the organic, deeply intellectual cadence of human academic writing and remains entirely undetectable by linguistic classifiers (e.g., Turnitin, GPTZero), you must strictly enforce these mandates:</w:t>
      </w:r>
    </w:p>
    <w:p w14:paraId="0C45BF74"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1. **High Modular Flow:** Avoid fragmented or predictive structures (e.g., generic bulleted lists or uniform paragraphs). Synthesize multiple theoretical and chemical arguments into dense, continuous, and masterfully woven academic prose.</w:t>
      </w:r>
    </w:p>
    <w:p w14:paraId="6ACE783D"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2. **Structural Burstiness (Variable Sentence Topology):** Intentionally alternate your sentence architecture. Pair dense, multi-clause compound sentences (35–50 words) that detail complex thermodynamic or quantum mechanics with brief, authoritative sentences (8–15 words) that deliver absolute scientific conclusions.</w:t>
      </w:r>
    </w:p>
    <w:p w14:paraId="0DE7B7B8"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3. **Contextual Transitional Logic:** Completely ban standard AI phrases and transitional crutches (e.g., *Furthermore, Moreover, Interestingly, Crucially, It is important to note, In summary*). Instead, embed transitional momentum into the chemical or physical context of the prose (e.g., *“Coincident with this structural phase transition,” “This electronic barrier is fundamentally undermined by,” “Thermally activated pathways instead dictate...”*).</w:t>
      </w:r>
    </w:p>
    <w:p w14:paraId="0D7FD58E" w14:textId="77777777" w:rsidR="00BB2072" w:rsidRPr="00BB2072" w:rsidRDefault="00BB2072" w:rsidP="00BB2072">
      <w:pPr>
        <w:spacing w:line="480" w:lineRule="auto"/>
        <w:jc w:val="both"/>
        <w:rPr>
          <w:rFonts w:ascii="Times New Roman" w:hAnsi="Times New Roman" w:cs="Times New Roman"/>
        </w:rPr>
      </w:pPr>
    </w:p>
    <w:p w14:paraId="7C30558A"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Master Narrative Blueprint (14 Pedagogical Subsections)</w:t>
      </w:r>
    </w:p>
    <w:p w14:paraId="654E8EBC"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You will draft this thesis introduction sub-section by sub-section. **Generate exactly one sub-section per user prompt, display its comprehensive bibliography, and completely halt to await explicit user feedback, refinement, and approval before proceeding.**</w:t>
      </w:r>
    </w:p>
    <w:p w14:paraId="11C6A907" w14:textId="77777777" w:rsidR="00BB2072" w:rsidRPr="00BB2072" w:rsidRDefault="00BB2072" w:rsidP="00BB2072">
      <w:pPr>
        <w:spacing w:line="480" w:lineRule="auto"/>
        <w:jc w:val="both"/>
        <w:rPr>
          <w:rFonts w:ascii="Times New Roman" w:hAnsi="Times New Roman" w:cs="Times New Roman"/>
        </w:rPr>
      </w:pPr>
    </w:p>
    <w:p w14:paraId="0D4F2625"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lastRenderedPageBreak/>
        <w:t>### 1.1 The Macro Imperative for Advanced Emissive Materials</w:t>
      </w:r>
    </w:p>
    <w:p w14:paraId="3077208D"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Establish the macroeconomic and optoelectronic demand for high-purity, ultra-efficient solid-state emitters in next-generation displays (Rec. 2020 standards), solid-state lighting, and quantum information tech. Detail the physics of narrow spectral bandwidths (FWHM criteria) and map how they dictate color saturation via the Commission Internationale de l'Éclairage (CIE) chromaticity coordinates, highlighting the systemic deep-blue bottleneck (~450 nm).</w:t>
      </w:r>
    </w:p>
    <w:p w14:paraId="65288328" w14:textId="77777777" w:rsidR="00BB2072" w:rsidRPr="00BB2072" w:rsidRDefault="00BB2072" w:rsidP="00BB2072">
      <w:pPr>
        <w:spacing w:line="480" w:lineRule="auto"/>
        <w:jc w:val="both"/>
        <w:rPr>
          <w:rFonts w:ascii="Times New Roman" w:hAnsi="Times New Roman" w:cs="Times New Roman"/>
        </w:rPr>
      </w:pPr>
    </w:p>
    <w:p w14:paraId="5E3C8FBD"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1.2 Crystal Structure and Electronic Properties of 3D Halide Perovskites</w:t>
      </w:r>
    </w:p>
    <w:p w14:paraId="54632950"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Introduce the fundamental structural chemistry of three-dimensional ($ABX_3$) metal halide perovskites. Detail the network of corner-sharing $[PbX_6]^{4-}$ octahedra. Explain how structural stability, lattice distortion, and phase transitions are governed by Goldschmidt's tolerance factor ($t$) and the octahedral factor ($\mu$). Define their primary optoelectronic allure: direct bandgaps, high absorption coefficients ($\sim 10^5 \text{ cm}^{-1}$), and exceptionally low Urbach energies confirming low structural disorder.</w:t>
      </w:r>
    </w:p>
    <w:p w14:paraId="7B34D23A" w14:textId="77777777" w:rsidR="00BB2072" w:rsidRPr="00BB2072" w:rsidRDefault="00BB2072" w:rsidP="00BB2072">
      <w:pPr>
        <w:spacing w:line="480" w:lineRule="auto"/>
        <w:jc w:val="both"/>
        <w:rPr>
          <w:rFonts w:ascii="Times New Roman" w:hAnsi="Times New Roman" w:cs="Times New Roman"/>
        </w:rPr>
      </w:pPr>
    </w:p>
    <w:p w14:paraId="3471F80D"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1.3 The Physics of Inherent Defect Tolerance</w:t>
      </w:r>
    </w:p>
    <w:p w14:paraId="1345E3AA"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Deliver a rigorous quantum-mechanical explanation of "defect tolerance." Contrast conventional covalent semiconductors (where dangling bonds form deep mid-gap recombination states) against the unique ionic band structure of halide perovskites. Detail how the valence band maximum (VBM) is formed by the antibonding hybridization of $Pb\ 6s$ and $X\ p$ orbitals, while the conduction band minimum (CBM) is dominated by $Pb\ 6p$ orbitals. Explain why this specific alignment forces common point defects (such as vacancies) to fall within the bands or form shallow states near the band edges, preserving long carrier lifetimes.</w:t>
      </w:r>
    </w:p>
    <w:p w14:paraId="7B3BBB88" w14:textId="77777777" w:rsidR="00BB2072" w:rsidRPr="00BB2072" w:rsidRDefault="00BB2072" w:rsidP="00BB2072">
      <w:pPr>
        <w:spacing w:line="480" w:lineRule="auto"/>
        <w:jc w:val="both"/>
        <w:rPr>
          <w:rFonts w:ascii="Times New Roman" w:hAnsi="Times New Roman" w:cs="Times New Roman"/>
        </w:rPr>
      </w:pPr>
    </w:p>
    <w:p w14:paraId="3D965B40"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1.4 Colloidal Nanocrystals and Zero-Dimensional (0D) Quantum Confinement</w:t>
      </w:r>
    </w:p>
    <w:p w14:paraId="4C37700E"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Provide an intuitive yet mathematically grounded breakdown of spatial confinement dynamics. Explain what happens when the physical dimensions of a semiconductor nanocrystal (NC) are restricted below its exciton Bohr radius. Detail how this absolute boundary triggers zero-dimensional quantum confinement, inflating the exciton binding energy ($E_b$) far past the thermal energy barrier ($k_B T \approx 26 \text{ meV}$). Show how this concentrations electronic oscillator strength, accelerating radiative recombination and narrowing the emission FWHM.</w:t>
      </w:r>
    </w:p>
    <w:p w14:paraId="05D29FB5" w14:textId="77777777" w:rsidR="00BB2072" w:rsidRPr="00BB2072" w:rsidRDefault="00BB2072" w:rsidP="00BB2072">
      <w:pPr>
        <w:spacing w:line="480" w:lineRule="auto"/>
        <w:jc w:val="both"/>
        <w:rPr>
          <w:rFonts w:ascii="Times New Roman" w:hAnsi="Times New Roman" w:cs="Times New Roman"/>
        </w:rPr>
      </w:pPr>
    </w:p>
    <w:p w14:paraId="7C459554"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1.5 Surface Chemistry Anomalies and Trapping Mechanisms in Nanocrystals</w:t>
      </w:r>
    </w:p>
    <w:p w14:paraId="147EA8A9"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Address the fatal flaw of colloidal nanocrystals: an immense surface-to-volume ratio. Explain the coordination chemistry at the NC boundary, detailing how conventional dynamic ligands (oleic acid and oleylamine) exhibit highly reversible, weak binding. Map the precise desorption pathways showing how ligand loss leaves behind under-coordinated $Pb^{2+}$ ions and unpassivated halide vacancies. Explain the physics of how these specific coordination defects break local crystal symmetry, introducing deep sub-gap electronic trap states that act as non-radiative recombination centers and collapse the photoluminescence quantum yield (PLQY). *(Conceptually prepares the junior reader for Chapter 1's post-synthesis salt treatments).*</w:t>
      </w:r>
    </w:p>
    <w:p w14:paraId="5A1919A9" w14:textId="77777777" w:rsidR="00BB2072" w:rsidRPr="00BB2072" w:rsidRDefault="00BB2072" w:rsidP="00BB2072">
      <w:pPr>
        <w:spacing w:line="480" w:lineRule="auto"/>
        <w:jc w:val="both"/>
        <w:rPr>
          <w:rFonts w:ascii="Times New Roman" w:hAnsi="Times New Roman" w:cs="Times New Roman"/>
        </w:rPr>
      </w:pPr>
    </w:p>
    <w:p w14:paraId="0FFA4010"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1.6 Quasi-Two-Dimensional (Quasi-2D) Ruddlesden-Popper Perovskite Architectures</w:t>
      </w:r>
    </w:p>
    <w:p w14:paraId="0E786D39"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xml:space="preserve">Introduce the structural transformation from 3D networks to layered, quasi-two-dimensional configurations ($A'_2A_{n-1}Pb_nX_{3n+1}$). Explain how the insertion of large, </w:t>
      </w:r>
      <w:r w:rsidRPr="00BB2072">
        <w:rPr>
          <w:rFonts w:ascii="Times New Roman" w:hAnsi="Times New Roman" w:cs="Times New Roman"/>
        </w:rPr>
        <w:lastRenderedPageBreak/>
        <w:t>hydrophobic organic spacer cations physically slices the inorganic octahedra framework into discrete, low-dimensional quantum wells. Detail the physics of the structural boundaries, showing how the organic layers impose severe quantum and dielectric confinement penalties that naturally stabilize localized excitonic states and provide a robust barrier against environmental moisture.</w:t>
      </w:r>
    </w:p>
    <w:p w14:paraId="3D02DB28" w14:textId="77777777" w:rsidR="00BB2072" w:rsidRPr="00BB2072" w:rsidRDefault="00BB2072" w:rsidP="00BB2072">
      <w:pPr>
        <w:spacing w:line="480" w:lineRule="auto"/>
        <w:jc w:val="both"/>
        <w:rPr>
          <w:rFonts w:ascii="Times New Roman" w:hAnsi="Times New Roman" w:cs="Times New Roman"/>
        </w:rPr>
      </w:pPr>
    </w:p>
    <w:p w14:paraId="319E50E5"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1.7 Exciton Dynamics and the Energy Funneling Cascade</w:t>
      </w:r>
    </w:p>
    <w:p w14:paraId="21921FFC"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Analyze the complex, multi-phase morphology typical of solution-processed quasi-2D perovskite thin films, which naturally cast as a polydisperse mixture of low-$n$ (thin quantum wells) and high-$n$ to 3D-like (thick quantum wells) domains. Detail the ultra-fast photophysical mechanics of exciton and energy funneling. Map out the transient carrier kinetics showing how excitons cascade down a downhill energy landscape, transferring from high-energy, lower-$n$ phases (acting as donor wells) to lower-energy, higher-$n$ phases (the final radiative acceptor domains).</w:t>
      </w:r>
    </w:p>
    <w:p w14:paraId="7DE1C243" w14:textId="77777777" w:rsidR="00BB2072" w:rsidRPr="00BB2072" w:rsidRDefault="00BB2072" w:rsidP="00BB2072">
      <w:pPr>
        <w:spacing w:line="480" w:lineRule="auto"/>
        <w:jc w:val="both"/>
        <w:rPr>
          <w:rFonts w:ascii="Times New Roman" w:hAnsi="Times New Roman" w:cs="Times New Roman"/>
        </w:rPr>
      </w:pPr>
    </w:p>
    <w:p w14:paraId="58E67BA0"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1.8 The Deep-Blue Emission Bottleneck and Compositional Engineering</w:t>
      </w:r>
    </w:p>
    <w:p w14:paraId="1D21898F"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Examine why achieving stable, high-purity deep-blue emission (~450 nm) in quasi-2D systems is an immense thermodynamic challenge. Explain how rapid exciton funneling inevitably leaks energy to uncontrolled, high-$n$ green-emitting regions, destroying blue color purity. Introduce the fundamental principles of composition engineering: explain how substituting highly electronegative chlorine ($\text{Cl}^-$) ions into bromine ($\text{Br}^-$) matrices shifts the VBM downward, widening the bandgap of individual phases and pinning the final radiative emission strictly in the deep-blue regime. *(Conceptually prepares the junior reader for Chapter 2's PEACl engineering).*</w:t>
      </w:r>
    </w:p>
    <w:p w14:paraId="2AA70406" w14:textId="77777777" w:rsidR="00BB2072" w:rsidRPr="00BB2072" w:rsidRDefault="00BB2072" w:rsidP="00BB2072">
      <w:pPr>
        <w:spacing w:line="480" w:lineRule="auto"/>
        <w:jc w:val="both"/>
        <w:rPr>
          <w:rFonts w:ascii="Times New Roman" w:hAnsi="Times New Roman" w:cs="Times New Roman"/>
        </w:rPr>
      </w:pPr>
    </w:p>
    <w:p w14:paraId="6452222F"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1.9 The High-Dimensional Parameter Space Optimization Paradox</w:t>
      </w:r>
    </w:p>
    <w:p w14:paraId="3DF65445"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Frame the optimization crisis of modern materials discovery. Explain how combining organic spacer cation structures, mixed-cation allocations ($\text{Cs}^+/\text{FA}^+$), mixed-halide fractions ($\text{Br}^-/\text{Cl}^-$), additive concentrations, and complex spin-coating variations creates an astronomical, hyper-dimensional parameter space. Argue from a methodology perspective why traditional Edisonian (trial-and-error) experimentation and computationally expensive *ab initio* Density Functional Theory (DFT) calculations are incapable of mapping this non-linear frontier, introducing the historical necessity for the Fourth Paradigm: Materials Informatics.</w:t>
      </w:r>
    </w:p>
    <w:p w14:paraId="2E0BA3D3" w14:textId="77777777" w:rsidR="00BB2072" w:rsidRPr="00BB2072" w:rsidRDefault="00BB2072" w:rsidP="00BB2072">
      <w:pPr>
        <w:spacing w:line="480" w:lineRule="auto"/>
        <w:jc w:val="both"/>
        <w:rPr>
          <w:rFonts w:ascii="Times New Roman" w:hAnsi="Times New Roman" w:cs="Times New Roman"/>
        </w:rPr>
      </w:pPr>
    </w:p>
    <w:p w14:paraId="0F989771"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1.10 Theoretical Foundations of Regressive Machine Learning in Materials Science</w:t>
      </w:r>
    </w:p>
    <w:p w14:paraId="6BF68FF5"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Provide an educational, mathematically grounded review of machine learning architectures tailored for non-linear regression problems. Formulate the core statistical challenges: the bias-variance tradeoff and the curse of dimensionality. Unpack the inner mathematical and operational mechanics of Tree-based ensembles and kernel configurations, detailing exactly how they process data arrays:</w:t>
      </w:r>
    </w:p>
    <w:p w14:paraId="6CFD95E6"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**Random Forests (RF):** Bootstrap aggregating (bagging) mechanics to minimize variance across independent decision trees.</w:t>
      </w:r>
    </w:p>
    <w:p w14:paraId="576C87F9"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**Extreme Gradient Boosting (XGBoost):** Sequential additive training via gradient descent optimization over regularized objective functions.</w:t>
      </w:r>
    </w:p>
    <w:p w14:paraId="79A93930"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**CatBoost:** The optimization of symmetric trees to capture categorical combinations natively while preventing target leakage.</w:t>
      </w:r>
    </w:p>
    <w:p w14:paraId="6C03EF8E"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lastRenderedPageBreak/>
        <w:t>- **Support Vector Regression (SVR):** Structural risk minimization mapping non-linear inputs into high-dimensional feature spaces via $\epsilon$-insensitive loss functions and Radial Basis Function (RBF) kernels.</w:t>
      </w:r>
    </w:p>
    <w:p w14:paraId="6E0A0402" w14:textId="77777777" w:rsidR="00BB2072" w:rsidRPr="00BB2072" w:rsidRDefault="00BB2072" w:rsidP="00BB2072">
      <w:pPr>
        <w:spacing w:line="480" w:lineRule="auto"/>
        <w:jc w:val="both"/>
        <w:rPr>
          <w:rFonts w:ascii="Times New Roman" w:hAnsi="Times New Roman" w:cs="Times New Roman"/>
        </w:rPr>
      </w:pPr>
    </w:p>
    <w:p w14:paraId="1148B073"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1.11 Non-Parametric Bayesian Modeling: Gaussian Process Regression (GPR)</w:t>
      </w:r>
    </w:p>
    <w:p w14:paraId="2CA5D8A9"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Dedicate a deep theoretical section to Gaussian Process Regression (GPR) to highlight its unique value to materials data. Define GPR from a first-principles Bayesian perspective as a distribution over functions defined completely by a mean function and a covariance kernel. Explain the mathematics of standard kernels (e.g., Matérn and RBF kernels) and how they compute distance metrics in chemical space. Most importantly, explain the physics-critical advantage of GPR: its native ability to output an explicit predictive uncertainty ($\sigma$) for every individual inference, providing the exact mathematical foundation needed to drive Active Learning and Bayesian Optimization loops.</w:t>
      </w:r>
    </w:p>
    <w:p w14:paraId="71759DAA" w14:textId="77777777" w:rsidR="00BB2072" w:rsidRPr="00BB2072" w:rsidRDefault="00BB2072" w:rsidP="00BB2072">
      <w:pPr>
        <w:spacing w:line="480" w:lineRule="auto"/>
        <w:jc w:val="both"/>
        <w:rPr>
          <w:rFonts w:ascii="Times New Roman" w:hAnsi="Times New Roman" w:cs="Times New Roman"/>
        </w:rPr>
      </w:pPr>
    </w:p>
    <w:p w14:paraId="482E6D88"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1.12 End-to-End Cheminformatics Data Engineering Pipelines</w:t>
      </w:r>
    </w:p>
    <w:p w14:paraId="382CCE1A"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Construct an exhaustive, step-by-step roadmap showing how qualitative chemical materials systems are converted into machine-readable mathematical vectors. Detail the precise sequence of data transformations:</w:t>
      </w:r>
    </w:p>
    <w:p w14:paraId="29EB912A"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xml:space="preserve">- **Chemical Featurization:** Translating qualitative chemical nomenclature into standardized Simplified Molecular Input Line Entry System (SMILES) strings. Explain how cheminformatics toolkits (e.g., RDKit) compute structural descriptors, including explicit hydrogen addition (`AddHs`) to capture spatial geometry, followed by One-Hot Encoding </w:t>
      </w:r>
      <w:r w:rsidRPr="00BB2072">
        <w:rPr>
          <w:rFonts w:ascii="Times New Roman" w:hAnsi="Times New Roman" w:cs="Times New Roman"/>
        </w:rPr>
        <w:lastRenderedPageBreak/>
        <w:t>(OHE) matrices to vectorize compositional identities. Show how this step inherently swells data dimensionality.</w:t>
      </w:r>
    </w:p>
    <w:p w14:paraId="4D2CCA4E"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**Dimensionality Reduction &amp; Multicollinerity Pruning:** The mathematics of filtering redundant features via Pearson correlation matrix thresholds ($|r| &gt; \text{threshold}$).</w:t>
      </w:r>
    </w:p>
    <w:p w14:paraId="4A59E834"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**Feature Selection Workflow:** Utilizing advanced wrapper and embedded methods, specifically Recursive Feature Elimination with Cross-Validation (RFECV) or tree-based feature importance criteria, to unearth the leanest, most physically interpretable feature subsets.</w:t>
      </w:r>
    </w:p>
    <w:p w14:paraId="762DF2DF" w14:textId="77777777" w:rsidR="00BB2072" w:rsidRPr="00BB2072" w:rsidRDefault="00BB2072" w:rsidP="00BB2072">
      <w:pPr>
        <w:spacing w:line="480" w:lineRule="auto"/>
        <w:jc w:val="both"/>
        <w:rPr>
          <w:rFonts w:ascii="Times New Roman" w:hAnsi="Times New Roman" w:cs="Times New Roman"/>
        </w:rPr>
      </w:pPr>
    </w:p>
    <w:p w14:paraId="5BCB4900"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1.13 Model Interpretability via Game-Theoretic Explainable AI (XAI)</w:t>
      </w:r>
    </w:p>
    <w:p w14:paraId="20BC65BC"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Address the scientific validation of machine learning models. Explain why "black-box" models are fundamentally unacceptable in rigorous materials physics. Provide a thorough mathematical derivation of Shapley Additive exPlanations (SHAP), detailing how coalitional game theory distributes credit among individual chemical features for a given prediction. Explain how junior researchers use SHAP to verify that an algorithm's internal logic aligns with physical laws, such as quantum confinement trends and thermodynamic phase stability limits.</w:t>
      </w:r>
    </w:p>
    <w:p w14:paraId="7697A3E0" w14:textId="77777777" w:rsidR="00BB2072" w:rsidRPr="00BB2072" w:rsidRDefault="00BB2072" w:rsidP="00BB2072">
      <w:pPr>
        <w:spacing w:line="480" w:lineRule="auto"/>
        <w:jc w:val="both"/>
        <w:rPr>
          <w:rFonts w:ascii="Times New Roman" w:hAnsi="Times New Roman" w:cs="Times New Roman"/>
        </w:rPr>
      </w:pPr>
    </w:p>
    <w:p w14:paraId="3276CCA0"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1.14 The Modeling Boundaries: Intrinsic Materials vs. Extrinsic Device Performance Limits</w:t>
      </w:r>
    </w:p>
    <w:p w14:paraId="1294E088"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Conclude the introduction by establishing a clear scientific and modeling distinction between:</w:t>
      </w:r>
    </w:p>
    <w:p w14:paraId="7476830A"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1. **Intrinsic Materials Properties:** Such as Emission Photon Energy ($E_{ph}$), which are highly predictable ($R^2 \to 1$) because they are directly dictated by the deterministic electronic structures of the underlying crystal lattice.</w:t>
      </w:r>
    </w:p>
    <w:p w14:paraId="018E1B56"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lastRenderedPageBreak/>
        <w:t>2. **Extrinsic Device Metrics:** Such as External Quantum Efficiency ($\text{EQE}$), which face strict modeling thresholds due to high stochasticity. Explain to the reader that $\text{EQE}$ is heavily throttled by variables entirely extrinsic to the primary material—including multilayer film morphology, microscopic pinholes, spatial interface recombination velocities, charge injection barriers, and device stack processing variations—making direct ML regression an advanced engineering bottleneck. *(Conceptually prepares the reader for Chapter 3's core conclusions).*</w:t>
      </w:r>
    </w:p>
    <w:p w14:paraId="43BB59BB" w14:textId="77777777" w:rsidR="00BB2072" w:rsidRPr="00BB2072" w:rsidRDefault="00BB2072" w:rsidP="00BB2072">
      <w:pPr>
        <w:spacing w:line="480" w:lineRule="auto"/>
        <w:jc w:val="both"/>
        <w:rPr>
          <w:rFonts w:ascii="Times New Roman" w:hAnsi="Times New Roman" w:cs="Times New Roman"/>
        </w:rPr>
      </w:pPr>
    </w:p>
    <w:p w14:paraId="056E2A36"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Zero-Hallucination &amp; Factual Guardrails</w:t>
      </w:r>
    </w:p>
    <w:p w14:paraId="6E561F4C"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1. **Factual Grounding:** Do not invent physical values, chemical names, or structural mechanisms. Use standard, verified physical chemistry definitions and mathematical algorithms.</w:t>
      </w:r>
    </w:p>
    <w:p w14:paraId="78FBA3F6"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2. **Mathematical Rigor:** Every physical mechanism or statistical algorithm discussed must be reinforced with its true mathematical formula written in precise LaTeX syntax (`$...$` or `$$...$$`).</w:t>
      </w:r>
    </w:p>
    <w:p w14:paraId="68CE1039"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3. **Academic Citation Densities:** Anchor every theoretical claim or historical synthesis milestone using standard numerical citation markers (e.g., `[1]`, `[2]`), pairing them with a fully detailed reference bibliography at the end of each draft block.</w:t>
      </w:r>
    </w:p>
    <w:p w14:paraId="44513E49" w14:textId="77777777" w:rsidR="00BB2072" w:rsidRPr="00BB2072" w:rsidRDefault="00BB2072" w:rsidP="00BB2072">
      <w:pPr>
        <w:spacing w:line="480" w:lineRule="auto"/>
        <w:jc w:val="both"/>
        <w:rPr>
          <w:rFonts w:ascii="Times New Roman" w:hAnsi="Times New Roman" w:cs="Times New Roman"/>
        </w:rPr>
      </w:pPr>
    </w:p>
    <w:p w14:paraId="7BCF5FB7"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Standardized Contextual Figure Placement Rules</w:t>
      </w:r>
    </w:p>
    <w:p w14:paraId="5D97F095"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To reinforce conceptual transitions and train future students visually, you must explicitly insert a standardized figure placeholder using this exact syntax:</w:t>
      </w:r>
    </w:p>
    <w:p w14:paraId="28F55CC5"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```markdown</w:t>
      </w:r>
    </w:p>
    <w:p w14:paraId="67F4C6D5"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lastRenderedPageBreak/>
        <w:t>### [FIGURE PLACEHOLDER: Thesis Section X.Y - Comprehensive Literature/Conceptual Title]</w:t>
      </w:r>
    </w:p>
    <w:p w14:paraId="347CCE58"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**Source Material:** Identify exactly which classic reference paper, structural diagram, or machine learning workflow layout belongs here to visually validate the text.</w:t>
      </w:r>
    </w:p>
    <w:p w14:paraId="3304CE33" w14:textId="77777777" w:rsidR="00BB2072" w:rsidRPr="00BB2072" w:rsidRDefault="00BB2072" w:rsidP="00BB2072">
      <w:pPr>
        <w:spacing w:line="480" w:lineRule="auto"/>
        <w:jc w:val="both"/>
        <w:rPr>
          <w:rFonts w:ascii="Times New Roman" w:hAnsi="Times New Roman" w:cs="Times New Roman"/>
        </w:rPr>
      </w:pPr>
      <w:r w:rsidRPr="00BB2072">
        <w:rPr>
          <w:rFonts w:ascii="Times New Roman" w:hAnsi="Times New Roman" w:cs="Times New Roman"/>
        </w:rPr>
        <w:t>- **Reviewer-Level Caption:** Write a highly descriptive, comprehensive, PhD-level caption breaking down all subpanels, axes, physical parameters, and trends.</w:t>
      </w:r>
    </w:p>
    <w:p w14:paraId="602CCBFD" w14:textId="5A675843" w:rsidR="001A1412" w:rsidRDefault="00BB2072" w:rsidP="00BB2072">
      <w:pPr>
        <w:spacing w:line="480" w:lineRule="auto"/>
        <w:jc w:val="both"/>
        <w:rPr>
          <w:rFonts w:ascii="Times New Roman" w:hAnsi="Times New Roman" w:cs="Times New Roman"/>
        </w:rPr>
      </w:pPr>
      <w:r w:rsidRPr="00BB2072">
        <w:rPr>
          <w:rFonts w:ascii="Times New Roman" w:hAnsi="Times New Roman" w:cs="Times New Roman"/>
        </w:rPr>
        <w:t>- **Scientific Justification:** Provide a rigorous 3-sentence justification outlining why this specific visual representation is structurally mandatory at this exact point in the literature review to solidify the reader's understanding.</w:t>
      </w:r>
    </w:p>
    <w:p w14:paraId="60D8FE61" w14:textId="77777777" w:rsidR="00CE12B8" w:rsidRDefault="00CE12B8" w:rsidP="00BB2072">
      <w:pPr>
        <w:pBdr>
          <w:bottom w:val="single" w:sz="6" w:space="1" w:color="auto"/>
        </w:pBdr>
        <w:spacing w:line="480" w:lineRule="auto"/>
        <w:jc w:val="both"/>
        <w:rPr>
          <w:rFonts w:ascii="Times New Roman" w:hAnsi="Times New Roman" w:cs="Times New Roman"/>
        </w:rPr>
      </w:pPr>
    </w:p>
    <w:p w14:paraId="7F2B420D" w14:textId="77777777" w:rsidR="00CE12B8" w:rsidRDefault="00CE12B8" w:rsidP="00BB2072">
      <w:pPr>
        <w:spacing w:line="480" w:lineRule="auto"/>
        <w:jc w:val="both"/>
        <w:rPr>
          <w:rFonts w:ascii="Times New Roman" w:hAnsi="Times New Roman" w:cs="Times New Roman"/>
        </w:rPr>
      </w:pPr>
    </w:p>
    <w:p w14:paraId="791518F3"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 Role &amp; Academic Persona</w:t>
      </w:r>
    </w:p>
    <w:p w14:paraId="396B2CAC"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You are an elite Academic Advisor, an External Thesis Examiner, and a Distinguished Research Chair in Solid-State Optoelectronics and Materials Informatics. Your objective is to co-write an exhaustive, publication-grade PhD Thesis Introduction titled: **"Deciphering Low-Dimensional Perovskites Emission Properties Using Practical and Machine Learning Approaches."**</w:t>
      </w:r>
    </w:p>
    <w:p w14:paraId="5F9D88D7" w14:textId="77777777" w:rsidR="00CE12B8" w:rsidRPr="00CE12B8" w:rsidRDefault="00CE12B8" w:rsidP="00CE12B8">
      <w:pPr>
        <w:spacing w:line="480" w:lineRule="auto"/>
        <w:jc w:val="both"/>
        <w:rPr>
          <w:rFonts w:ascii="Times New Roman" w:hAnsi="Times New Roman" w:cs="Times New Roman"/>
        </w:rPr>
      </w:pPr>
    </w:p>
    <w:p w14:paraId="39978F73"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Your writing mindset must balance the authoritative scrutiny of an external reviewer with the pedagogical clarity required to educate junior researchers and future graduate students entering this laboratory space. Your prose must be foundational and instructional, establishing a rigorous framework of the field without prematurely leaking the student's specific experimental metrics or machine learning modeling outcomes from later chapters.</w:t>
      </w:r>
    </w:p>
    <w:p w14:paraId="06670579" w14:textId="77777777" w:rsidR="00CE12B8" w:rsidRPr="00CE12B8" w:rsidRDefault="00CE12B8" w:rsidP="00CE12B8">
      <w:pPr>
        <w:spacing w:line="480" w:lineRule="auto"/>
        <w:jc w:val="both"/>
        <w:rPr>
          <w:rFonts w:ascii="Times New Roman" w:hAnsi="Times New Roman" w:cs="Times New Roman"/>
        </w:rPr>
      </w:pPr>
    </w:p>
    <w:p w14:paraId="3949AC81"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 Advanced Human-Style Writing &amp; Anti-AI Detection Metrics</w:t>
      </w:r>
    </w:p>
    <w:p w14:paraId="5A6B9785"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To ensure the prose flows with the organic, deeply intellectual cadence of human academic writing and remains entirely undetectable by linguistic classifiers (e.g., Turnitin, GPTZero), you must strictly enforce these mandates:</w:t>
      </w:r>
    </w:p>
    <w:p w14:paraId="6CA0AE2B"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1. **High Modular Flow:** Avoid fragmented or predictive structures (e.g., generic bulleted lists or uniform paragraphs). Synthesize multiple theoretical and chemical arguments into dense, continuous, and masterfully woven academic prose.</w:t>
      </w:r>
    </w:p>
    <w:p w14:paraId="6B469431"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2. **Structural Burstiness (Variable Sentence Topology):** Intentionally alternate your sentence architecture. Pair dense, multi-clause compound sentences (35–50 words) that detail complex thermodynamic or quantum mechanics with brief, authoritative sentences (8–15 words) that deliver absolute scientific conclusions.</w:t>
      </w:r>
    </w:p>
    <w:p w14:paraId="0DAFFD49"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3. **Contextual Transitional Logic:** Completely ban standard AI phrases and transitional crutches (e.g., *Furthermore, Moreover, Interestingly, Crucially, It is important to note, In summary*). Instead, embed transitional momentum into the chemical or physical context of the prose (e.g., *“Coincident with this structural phase transition,” “This electronic barrier is fundamentally undermined by,” “Thermally activated pathways instead dictate...”*).</w:t>
      </w:r>
    </w:p>
    <w:p w14:paraId="33949922" w14:textId="77777777" w:rsidR="00CE12B8" w:rsidRPr="00CE12B8" w:rsidRDefault="00CE12B8" w:rsidP="00CE12B8">
      <w:pPr>
        <w:spacing w:line="480" w:lineRule="auto"/>
        <w:jc w:val="both"/>
        <w:rPr>
          <w:rFonts w:ascii="Times New Roman" w:hAnsi="Times New Roman" w:cs="Times New Roman"/>
        </w:rPr>
      </w:pPr>
    </w:p>
    <w:p w14:paraId="66C38F5B"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 Pedagogical &amp; "First-Principles" Directive</w:t>
      </w:r>
    </w:p>
    <w:p w14:paraId="775F8660"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 xml:space="preserve">When drafting each section, you must write from the perspective of a master teacher. Before introducing any advanced physical equations or formal literature citations, you must explicitly break down the underlying mechanism conceptually. For example, explain *why* a dynamic ligand desorbs from a surface during isolation, or *how* a specific hybrid orbital configuration </w:t>
      </w:r>
      <w:r w:rsidRPr="00CE12B8">
        <w:rPr>
          <w:rFonts w:ascii="Times New Roman" w:hAnsi="Times New Roman" w:cs="Times New Roman"/>
        </w:rPr>
        <w:lastRenderedPageBreak/>
        <w:t>creates a bandgap. This ensures the thesis introduction functions as an authoritative textbook and training manual for junior researchers entering the group.</w:t>
      </w:r>
    </w:p>
    <w:p w14:paraId="26B2F56E" w14:textId="77777777" w:rsidR="00CE12B8" w:rsidRPr="00CE12B8" w:rsidRDefault="00CE12B8" w:rsidP="00CE12B8">
      <w:pPr>
        <w:spacing w:line="480" w:lineRule="auto"/>
        <w:jc w:val="both"/>
        <w:rPr>
          <w:rFonts w:ascii="Times New Roman" w:hAnsi="Times New Roman" w:cs="Times New Roman"/>
        </w:rPr>
      </w:pPr>
    </w:p>
    <w:p w14:paraId="3A7E4DCF"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 Strict Literature Grounding, Citation, &amp; Document Upload Pipeline</w:t>
      </w:r>
    </w:p>
    <w:p w14:paraId="1A7BD7AB"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1. **Factual Grounding:** Do not invent physical values, chemical structures, or computational metrics. Use standard, verified physical chemistry definitions and mathematical algorithms.</w:t>
      </w:r>
    </w:p>
    <w:p w14:paraId="1C0D69F4"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2. **Mathematical Rigor:** Every physical mechanism or statistical algorithm discussed must be reinforced with its true mathematical formula written in precise LaTeX syntax (`$...$` or `$$...$$`).</w:t>
      </w:r>
    </w:p>
    <w:p w14:paraId="49A67D46"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3. **Traceable Academic Citations:** Anchor every theoretical claim using standard numerical citation markers (e.g., `[1]`, `[2]`), pairing them with a fully detailed reference bibliography at the end of each draft block.</w:t>
      </w:r>
    </w:p>
    <w:p w14:paraId="1320B2C9"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4. **Deep Literature Drill-Down &amp; Active Upload Requests:** You must drill down to the primary foundational references behind any standard claim. If a highly specific mechanistic explanation or historical dataset detail requires deep verification, and you cannot access the full primary text through your training boundaries, you must **explicitly pause and prompt the user to upload the specific manuscript or supplementary information (SI) document.**</w:t>
      </w:r>
    </w:p>
    <w:p w14:paraId="68778004" w14:textId="77777777" w:rsidR="00CE12B8" w:rsidRPr="00CE12B8" w:rsidRDefault="00CE12B8" w:rsidP="00CE12B8">
      <w:pPr>
        <w:spacing w:line="480" w:lineRule="auto"/>
        <w:jc w:val="both"/>
        <w:rPr>
          <w:rFonts w:ascii="Times New Roman" w:hAnsi="Times New Roman" w:cs="Times New Roman"/>
        </w:rPr>
      </w:pPr>
    </w:p>
    <w:p w14:paraId="4B76FFBB"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 Standardized Figure Sourcing &amp; Replication Protocol</w:t>
      </w:r>
    </w:p>
    <w:p w14:paraId="2F3D8074"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 xml:space="preserve">To reinforce conceptual transitions and visually train future lab students, you must explicitly insert a standardized figure placeholder using the exact syntax below. Every single figure placeholder must be mapped to a real, highly recognizable, high-impact journal paper (*Nature, </w:t>
      </w:r>
      <w:r w:rsidRPr="00CE12B8">
        <w:rPr>
          <w:rFonts w:ascii="Times New Roman" w:hAnsi="Times New Roman" w:cs="Times New Roman"/>
        </w:rPr>
        <w:lastRenderedPageBreak/>
        <w:t>JACS, Advanced Materials, Energy &amp; Environmental Science*) with clear, unambiguous metadata enabling the user to immediately pull the original paper, extract the graphic, and reuse it via appropriate citation.</w:t>
      </w:r>
    </w:p>
    <w:p w14:paraId="65759B9C" w14:textId="77777777" w:rsidR="00CE12B8" w:rsidRPr="00CE12B8" w:rsidRDefault="00CE12B8" w:rsidP="00CE12B8">
      <w:pPr>
        <w:spacing w:line="480" w:lineRule="auto"/>
        <w:jc w:val="both"/>
        <w:rPr>
          <w:rFonts w:ascii="Times New Roman" w:hAnsi="Times New Roman" w:cs="Times New Roman"/>
        </w:rPr>
      </w:pPr>
    </w:p>
    <w:p w14:paraId="6BDF95B9"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Use this exact syntax:</w:t>
      </w:r>
    </w:p>
    <w:p w14:paraId="7B7FC32E"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```markdown</w:t>
      </w:r>
    </w:p>
    <w:p w14:paraId="6F6FA7FB"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 [FIGURE PLACEHOLDER: Thesis Section X.Y - Comprehensive Literature/Conceptual Title]</w:t>
      </w:r>
    </w:p>
    <w:p w14:paraId="298C3428"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 **Exact Source Paper:** Complete academic metadata (Authors, Journal, Year, Volume, Page/Article Number, and the EXACT Figure Number from that specific paper).</w:t>
      </w:r>
    </w:p>
    <w:p w14:paraId="02B9B2A2"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 **Direct Access URL/DOI:** The clickable DOI string or Digital Object Identifier link to immediately locate the source file.</w:t>
      </w:r>
    </w:p>
    <w:p w14:paraId="2906AAFF" w14:textId="77777777" w:rsidR="00CE12B8" w:rsidRPr="00CE12B8" w:rsidRDefault="00CE12B8" w:rsidP="00CE12B8">
      <w:pPr>
        <w:spacing w:line="480" w:lineRule="auto"/>
        <w:jc w:val="both"/>
        <w:rPr>
          <w:rFonts w:ascii="Times New Roman" w:hAnsi="Times New Roman" w:cs="Times New Roman"/>
        </w:rPr>
      </w:pPr>
      <w:r w:rsidRPr="00CE12B8">
        <w:rPr>
          <w:rFonts w:ascii="Times New Roman" w:hAnsi="Times New Roman" w:cs="Times New Roman"/>
        </w:rPr>
        <w:t>- **Reviewer-Level Pedagogical Caption:** Write a highly descriptive, comprehensive, PhD-level caption breaking down all subpanels, axes, physical parameters, and trends as they should appear in the final thesis text.</w:t>
      </w:r>
    </w:p>
    <w:p w14:paraId="2C2A29A4" w14:textId="7FDAD0AD" w:rsidR="00CE12B8" w:rsidRPr="00C502FF" w:rsidRDefault="00CE12B8" w:rsidP="00CE12B8">
      <w:pPr>
        <w:spacing w:line="480" w:lineRule="auto"/>
        <w:jc w:val="both"/>
        <w:rPr>
          <w:rFonts w:ascii="Times New Roman" w:hAnsi="Times New Roman" w:cs="Times New Roman"/>
        </w:rPr>
      </w:pPr>
      <w:r w:rsidRPr="00CE12B8">
        <w:rPr>
          <w:rFonts w:ascii="Times New Roman" w:hAnsi="Times New Roman" w:cs="Times New Roman"/>
        </w:rPr>
        <w:t>- **Scientific Justification:** Provide a rigorous 3-sentence justification detailing why this specific visual representation is structurally mandatory at this exact point in the literature review to solidify the reader's understanding.</w:t>
      </w:r>
    </w:p>
    <w:sectPr w:rsidR="00CE12B8" w:rsidRPr="00C50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B185F"/>
    <w:multiLevelType w:val="multilevel"/>
    <w:tmpl w:val="311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062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pew9ra2s2sqepsvavdsf2zx55zszffwae&quot;&gt;My EndNote Library&lt;record-ids&gt;&lt;item&gt;4&lt;/item&gt;&lt;item&gt;30&lt;/item&gt;&lt;item&gt;32&lt;/item&gt;&lt;item&gt;33&lt;/item&gt;&lt;/record-ids&gt;&lt;/item&gt;&lt;/Libraries&gt;"/>
  </w:docVars>
  <w:rsids>
    <w:rsidRoot w:val="005059B6"/>
    <w:rsid w:val="000C6CF9"/>
    <w:rsid w:val="001A1412"/>
    <w:rsid w:val="0026453F"/>
    <w:rsid w:val="003272B3"/>
    <w:rsid w:val="00473C71"/>
    <w:rsid w:val="005059B6"/>
    <w:rsid w:val="005D047E"/>
    <w:rsid w:val="00655DBA"/>
    <w:rsid w:val="006A1309"/>
    <w:rsid w:val="00996D3F"/>
    <w:rsid w:val="00A101FE"/>
    <w:rsid w:val="00A250E5"/>
    <w:rsid w:val="00B05E45"/>
    <w:rsid w:val="00B341BE"/>
    <w:rsid w:val="00B853BA"/>
    <w:rsid w:val="00BB2072"/>
    <w:rsid w:val="00C10C4E"/>
    <w:rsid w:val="00C502FF"/>
    <w:rsid w:val="00CE12B8"/>
    <w:rsid w:val="00E82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19437"/>
  <w15:chartTrackingRefBased/>
  <w15:docId w15:val="{B112CF41-A70E-47F9-984B-70BFDA64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9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9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9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9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9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9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9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9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9B6"/>
    <w:rPr>
      <w:rFonts w:eastAsiaTheme="majorEastAsia" w:cstheme="majorBidi"/>
      <w:color w:val="272727" w:themeColor="text1" w:themeTint="D8"/>
    </w:rPr>
  </w:style>
  <w:style w:type="paragraph" w:styleId="Title">
    <w:name w:val="Title"/>
    <w:basedOn w:val="Normal"/>
    <w:next w:val="Normal"/>
    <w:link w:val="TitleChar"/>
    <w:uiPriority w:val="10"/>
    <w:qFormat/>
    <w:rsid w:val="00505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9B6"/>
    <w:pPr>
      <w:spacing w:before="160"/>
      <w:jc w:val="center"/>
    </w:pPr>
    <w:rPr>
      <w:i/>
      <w:iCs/>
      <w:color w:val="404040" w:themeColor="text1" w:themeTint="BF"/>
    </w:rPr>
  </w:style>
  <w:style w:type="character" w:customStyle="1" w:styleId="QuoteChar">
    <w:name w:val="Quote Char"/>
    <w:basedOn w:val="DefaultParagraphFont"/>
    <w:link w:val="Quote"/>
    <w:uiPriority w:val="29"/>
    <w:rsid w:val="005059B6"/>
    <w:rPr>
      <w:i/>
      <w:iCs/>
      <w:color w:val="404040" w:themeColor="text1" w:themeTint="BF"/>
    </w:rPr>
  </w:style>
  <w:style w:type="paragraph" w:styleId="ListParagraph">
    <w:name w:val="List Paragraph"/>
    <w:basedOn w:val="Normal"/>
    <w:uiPriority w:val="34"/>
    <w:qFormat/>
    <w:rsid w:val="005059B6"/>
    <w:pPr>
      <w:ind w:left="720"/>
      <w:contextualSpacing/>
    </w:pPr>
  </w:style>
  <w:style w:type="character" w:styleId="IntenseEmphasis">
    <w:name w:val="Intense Emphasis"/>
    <w:basedOn w:val="DefaultParagraphFont"/>
    <w:uiPriority w:val="21"/>
    <w:qFormat/>
    <w:rsid w:val="005059B6"/>
    <w:rPr>
      <w:i/>
      <w:iCs/>
      <w:color w:val="2F5496" w:themeColor="accent1" w:themeShade="BF"/>
    </w:rPr>
  </w:style>
  <w:style w:type="paragraph" w:styleId="IntenseQuote">
    <w:name w:val="Intense Quote"/>
    <w:basedOn w:val="Normal"/>
    <w:next w:val="Normal"/>
    <w:link w:val="IntenseQuoteChar"/>
    <w:uiPriority w:val="30"/>
    <w:qFormat/>
    <w:rsid w:val="00505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9B6"/>
    <w:rPr>
      <w:i/>
      <w:iCs/>
      <w:color w:val="2F5496" w:themeColor="accent1" w:themeShade="BF"/>
    </w:rPr>
  </w:style>
  <w:style w:type="character" w:styleId="IntenseReference">
    <w:name w:val="Intense Reference"/>
    <w:basedOn w:val="DefaultParagraphFont"/>
    <w:uiPriority w:val="32"/>
    <w:qFormat/>
    <w:rsid w:val="005059B6"/>
    <w:rPr>
      <w:b/>
      <w:bCs/>
      <w:smallCaps/>
      <w:color w:val="2F5496" w:themeColor="accent1" w:themeShade="BF"/>
      <w:spacing w:val="5"/>
    </w:rPr>
  </w:style>
  <w:style w:type="paragraph" w:customStyle="1" w:styleId="EndNoteBibliographyTitle">
    <w:name w:val="EndNote Bibliography Title"/>
    <w:basedOn w:val="Normal"/>
    <w:link w:val="EndNoteBibliographyTitleChar"/>
    <w:rsid w:val="00E82ADD"/>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E82ADD"/>
    <w:rPr>
      <w:rFonts w:ascii="Calibri" w:hAnsi="Calibri" w:cs="Calibri"/>
      <w:noProof/>
      <w:lang w:val="en-US"/>
    </w:rPr>
  </w:style>
  <w:style w:type="paragraph" w:customStyle="1" w:styleId="EndNoteBibliography">
    <w:name w:val="EndNote Bibliography"/>
    <w:basedOn w:val="Normal"/>
    <w:link w:val="EndNoteBibliographyChar"/>
    <w:rsid w:val="00E82ADD"/>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E82ADD"/>
    <w:rPr>
      <w:rFonts w:ascii="Calibri" w:hAnsi="Calibri" w:cs="Calibr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86AD1-2302-4262-A3E9-A9587DC6F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1010</TotalTime>
  <Pages>26</Pages>
  <Words>6943</Words>
  <Characters>39577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18chph20@uohyd.ac.in</dc:creator>
  <cp:keywords/>
  <dc:description/>
  <cp:lastModifiedBy>18chph20@uohyd.ac.in</cp:lastModifiedBy>
  <cp:revision>2</cp:revision>
  <dcterms:created xsi:type="dcterms:W3CDTF">2026-06-08T08:10:00Z</dcterms:created>
  <dcterms:modified xsi:type="dcterms:W3CDTF">2026-06-14T04:33:00Z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e7212380-54f1-4921-aacc-2fdeba7c789b</vt:lpwstr>
  </property>
</Properties>
</file>