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Benchmark Questions — Grounding Integrity Sentinel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Purpose</w:t>
            </w:r>
          </w:p>
        </w:tc>
        <w:tc>
          <w:tcPr>
            <w:tcW w:type="dxa" w:w="67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Probe set used to prove answers change before vs after remediation</w:t>
            </w:r>
          </w:p>
        </w:tc>
      </w:tr>
      <w:tr>
        <w:tc>
          <w:tcPr>
            <w:tcW w:type="dxa" w:w="2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Use</w:t>
            </w:r>
          </w:p>
        </w:tc>
        <w:tc>
          <w:tcPr>
            <w:tcW w:type="dxa" w:w="67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Build &amp; demo reference — NOT a knowledge source</w:t>
            </w:r>
          </w:p>
        </w:tc>
      </w:tr>
      <w:tr>
        <w:tc>
          <w:tcPr>
            <w:tcW w:type="dxa" w:w="2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Owner</w:t>
            </w:r>
          </w:p>
        </w:tc>
        <w:tc>
          <w:tcPr>
            <w:tcW w:type="dxa" w:w="67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You (hackathon build)</w:t>
            </w:r>
          </w:p>
        </w:tc>
      </w:tr>
    </w:tbl>
    <w:p>
      <w:pPr>
        <w:spacing w:after="120"/>
      </w:pPr>
      <w:r>
        <w:t xml:space="preserve">These are the questions you ask the production agent (“AskMeridian”) to demonstrate the before/broken state and the after/fixed state. Questions 1–6 target the four planted contradictions; questions 7–15 are controls that should answer correctly throughout (they prove the Sentinel does not break healthy answers, and that it shows restraint).</w:t>
      </w:r>
    </w:p>
    <w:p>
      <w:pPr>
        <w:pStyle w:val="Heading2"/>
      </w:pPr>
      <w:r>
        <w:t xml:space="preserve">Contradiction-targeting questions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type="dxa" w:w="187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187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Question</w:t>
            </w:r>
          </w:p>
        </w:tc>
        <w:tc>
          <w:tcPr>
            <w:tcW w:type="dxa" w:w="187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Tests</w:t>
            </w:r>
          </w:p>
        </w:tc>
        <w:tc>
          <w:tcPr>
            <w:tcW w:type="dxa" w:w="187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Wrong/unsafe answer (before)</w:t>
            </w:r>
          </w:p>
        </w:tc>
        <w:tc>
          <w:tcPr>
            <w:tcW w:type="dxa" w:w="187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Correct answer (after)</w:t>
            </w:r>
          </w:p>
        </w:tc>
      </w:tr>
      <w:tr>
        <w:tc>
          <w:tcPr>
            <w:tcW w:type="dxa" w:w="187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187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What is our guaranteed Priority-1 response time for Enterprise customers?</w:t>
            </w:r>
          </w:p>
        </w:tc>
        <w:tc>
          <w:tcPr>
            <w:tcW w:type="dxa" w:w="187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Contradiction 1 (recency trap)</w:t>
            </w:r>
          </w:p>
        </w:tc>
        <w:tc>
          <w:tcPr>
            <w:tcW w:type="dxa" w:w="187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“4 hours” (from the newer runbook)</w:t>
            </w:r>
          </w:p>
        </w:tc>
        <w:tc>
          <w:tcPr>
            <w:tcW w:type="dxa" w:w="187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“1 hour, 24x7 — contractual per the MSA”</w:t>
            </w:r>
          </w:p>
        </w:tc>
      </w:tr>
      <w:tr>
        <w:tc>
          <w:tcPr>
            <w:tcW w:type="dxa" w:w="187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187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Can an Account Executive approve a 20% discount on their own?</w:t>
            </w:r>
          </w:p>
        </w:tc>
        <w:tc>
          <w:tcPr>
            <w:tcW w:type="dxa" w:w="187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Contradiction 2 (cross-silo)</w:t>
            </w:r>
          </w:p>
        </w:tc>
        <w:tc>
          <w:tcPr>
            <w:tcW w:type="dxa" w:w="187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“Yes” (Sales Playbook says up to 25%)</w:t>
            </w:r>
          </w:p>
        </w:tc>
        <w:tc>
          <w:tcPr>
            <w:tcW w:type="dxa" w:w="187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“No — above 15% needs Deal Desk sign-off”</w:t>
            </w:r>
          </w:p>
        </w:tc>
      </w:tr>
      <w:tr>
        <w:tc>
          <w:tcPr>
            <w:tcW w:type="dxa" w:w="187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187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How long do we keep an EU customer's personal data after they close their account?</w:t>
            </w:r>
          </w:p>
        </w:tc>
        <w:tc>
          <w:tcPr>
            <w:tcW w:type="dxa" w:w="187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Contradiction 3 (reconcilable)</w:t>
            </w:r>
          </w:p>
        </w:tc>
        <w:tc>
          <w:tcPr>
            <w:tcW w:type="dxa" w:w="187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“7 years” (unsafe — implies GDPR breach)</w:t>
            </w:r>
          </w:p>
        </w:tc>
        <w:tc>
          <w:tcPr>
            <w:tcW w:type="dxa" w:w="187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“Within 30 days for EU personal data; transaction records kept 7 years separately”</w:t>
            </w:r>
          </w:p>
        </w:tc>
      </w:tr>
      <w:tr>
        <w:tc>
          <w:tcPr>
            <w:tcW w:type="dxa" w:w="187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187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What's the monthly list price of the Enterprise tier?</w:t>
            </w:r>
          </w:p>
        </w:tc>
        <w:tc>
          <w:tcPr>
            <w:tcW w:type="dxa" w:w="187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Contradiction 4 (structured vs prose)</w:t>
            </w:r>
          </w:p>
        </w:tc>
        <w:tc>
          <w:tcPr>
            <w:tcW w:type="dxa" w:w="187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Unstable: “$3,500” or “$4,000”</w:t>
            </w:r>
          </w:p>
        </w:tc>
        <w:tc>
          <w:tcPr>
            <w:tcW w:type="dxa" w:w="187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“$4,000/month per the authoritative rate card”</w:t>
            </w:r>
          </w:p>
        </w:tc>
      </w:tr>
      <w:tr>
        <w:tc>
          <w:tcPr>
            <w:tcW w:type="dxa" w:w="187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type="dxa" w:w="187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If a deal needs a 28% discount, who must approve it?</w:t>
            </w:r>
          </w:p>
        </w:tc>
        <w:tc>
          <w:tcPr>
            <w:tcW w:type="dxa" w:w="187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Contradiction 2 (reinforcement)</w:t>
            </w:r>
          </w:p>
        </w:tc>
        <w:tc>
          <w:tcPr>
            <w:tcW w:type="dxa" w:w="187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“The AE can” / unclear</w:t>
            </w:r>
          </w:p>
        </w:tc>
        <w:tc>
          <w:tcPr>
            <w:tcW w:type="dxa" w:w="187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“Deal Desk (Finance)”</w:t>
            </w:r>
          </w:p>
        </w:tc>
      </w:tr>
      <w:tr>
        <w:tc>
          <w:tcPr>
            <w:tcW w:type="dxa" w:w="187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6</w:t>
            </w:r>
          </w:p>
        </w:tc>
        <w:tc>
          <w:tcPr>
            <w:tcW w:type="dxa" w:w="187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Do we have to delete an EU customer's transaction records when they ask to be forgotten?</w:t>
            </w:r>
          </w:p>
        </w:tc>
        <w:tc>
          <w:tcPr>
            <w:tcW w:type="dxa" w:w="187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Contradiction 3 (the safety nuance)</w:t>
            </w:r>
          </w:p>
        </w:tc>
        <w:tc>
          <w:tcPr>
            <w:tcW w:type="dxa" w:w="187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“Yes, delete everything” (unsafe)</w:t>
            </w:r>
          </w:p>
        </w:tc>
        <w:tc>
          <w:tcPr>
            <w:tcW w:type="dxa" w:w="187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“No — erase personal data in 30 days, retain legally-required transaction records 7 years”</w:t>
            </w:r>
          </w:p>
        </w:tc>
      </w:tr>
    </w:tbl>
    <w:p>
      <w:pPr>
        <w:pStyle w:val="Heading2"/>
      </w:pPr>
      <w:r>
        <w:t xml:space="preserve">Control questions (should stay correct throughout)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What certifications must a new vendor have? (SOC 2 Type II or ISO 27001.)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Within how many days must I submit an expense claim? (30 days.)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What is the monthly uptime commitment for Enterprise? (99.9%.)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Who approves annual vendor spend above $25,000? (CFO.)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What discount can an AE approve with no escalation at all? (Up to 15%.)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When is the first status update due after declaring a P1? (Within 30 minutes.)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How long are system and security logs retained? (13 months.)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What reduction applies to annual billing? (10%.)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How many seats are included in the Growth tier? (Up to 50.)</w:t>
      </w:r>
    </w:p>
    <w:p>
      <w:pPr>
        <w:pStyle w:val="Heading2"/>
      </w:pPr>
      <w:r>
        <w:t xml:space="preserve">How to use in the demo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Before remediation: ask Q1, Q2, Q3 live — capture the wrong/unsafe answers.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Run the Sentinel — it surfaces contradictions 1–3 with evidence.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On Q3/Q6, show the Sentinel recommending a scoping note rather than deletion (the restraint beat).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Approve the fixes; re-ask Q1, Q2, Q3 — now correct and safe.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Optionally show a control question answering identically before and after, proving nothing healthy was broken.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40"/>
      <w:outlineLvl w:val="0"/>
    </w:pPr>
    <w:rPr>
      <w:rFonts w:ascii="Calibri" w:cs="Calibri" w:eastAsia="Calibri" w:hAnsi="Calibri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Calibri" w:cs="Calibri" w:eastAsia="Calibri" w:hAnsi="Calibri"/>
      <w:b/>
      <w:bCs/>
      <w:color w:val="2E549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2026-06-14T11:41:04.964Z</dcterms:created>
  <dcterms:modified xsi:type="dcterms:W3CDTF">2026-06-14T11:41:04.964Z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