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Competitive Battlecard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Product Marketing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May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reviewed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10 May 2026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c>
          <w:tcPr>
            <w:tcW w:type="dxa" w:w="2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Applies to</w:t>
            </w:r>
          </w:p>
        </w:tc>
        <w:tc>
          <w:tcPr>
            <w:tcW w:type="dxa" w:w="6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Sales</w:t>
            </w:r>
          </w:p>
        </w:tc>
      </w:tr>
    </w:tbl>
    <w:p>
      <w:pPr>
        <w:spacing w:after="120"/>
      </w:pPr>
      <w:r>
        <w:t xml:space="preserve">Positioning guidance against primary competitors. Keep claims factual and defensible.</w:t>
      </w:r>
    </w:p>
    <w:p>
      <w:pPr>
        <w:pStyle w:val="Heading2"/>
      </w:pPr>
      <w:r>
        <w:t xml:space="preserve">Our differentiators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Fastest enterprise onboarding in segment (median 3 weeks).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Transparent, published SLAs with credits.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Native data residency options for EU customers.</w:t>
      </w:r>
    </w:p>
    <w:p>
      <w:pPr>
        <w:pStyle w:val="Heading2"/>
      </w:pPr>
      <w:r>
        <w:t xml:space="preserve">Handling objections</w:t>
      </w:r>
    </w:p>
    <w:p>
      <w:pPr>
        <w:spacing w:after="120"/>
      </w:pPr>
      <w:r>
        <w:t xml:space="preserve">When asked about reliability, point to our published uptime history and the Enterprise SLA. Do not invent figures; use the Support Tier Definitions for accurate SLA language.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Calibri" w:cs="Calibri" w:eastAsia="Calibri" w:hAnsi="Calibri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2026-06-14T11:39:56.133Z</dcterms:created>
  <dcterms:modified xsi:type="dcterms:W3CDTF">2026-06-14T11:39:56.133Z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