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Quote-to-Cash Process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Document owner</w:t>
            </w:r>
          </w:p>
        </w:tc>
        <w:tc>
          <w:tcPr>
            <w:tcW w:type="dxa" w:w="6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Revenue Operations</w:t>
            </w:r>
          </w:p>
        </w:tc>
      </w:tr>
      <w:tr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Version</w:t>
            </w:r>
          </w:p>
        </w:tc>
        <w:tc>
          <w:tcPr>
            <w:tcW w:type="dxa" w:w="6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1.1</w:t>
            </w:r>
          </w:p>
        </w:tc>
      </w:tr>
      <w:tr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Effective date</w:t>
            </w:r>
          </w:p>
        </w:tc>
        <w:tc>
          <w:tcPr>
            <w:tcW w:type="dxa" w:w="6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18 February 2026</w:t>
            </w:r>
          </w:p>
        </w:tc>
      </w:tr>
      <w:tr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Last reviewed</w:t>
            </w:r>
          </w:p>
        </w:tc>
        <w:tc>
          <w:tcPr>
            <w:tcW w:type="dxa" w:w="6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18 February 2026</w:t>
            </w:r>
          </w:p>
        </w:tc>
      </w:tr>
      <w:tr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Classification</w:t>
            </w:r>
          </w:p>
        </w:tc>
        <w:tc>
          <w:tcPr>
            <w:tcW w:type="dxa" w:w="6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Internal</w:t>
            </w:r>
          </w:p>
        </w:tc>
      </w:tr>
      <w:tr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Applies to</w:t>
            </w:r>
          </w:p>
        </w:tc>
        <w:tc>
          <w:tcPr>
            <w:tcW w:type="dxa" w:w="6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Sales, Finance, Legal</w:t>
            </w:r>
          </w:p>
        </w:tc>
      </w:tr>
    </w:tbl>
    <w:p>
      <w:pPr>
        <w:spacing w:after="120"/>
      </w:pPr>
      <w:r>
        <w:t xml:space="preserve">End-to-end flow from quote creation to recognized revenue.</w:t>
      </w:r>
    </w:p>
    <w:p>
      <w:pPr>
        <w:pStyle w:val="Heading2"/>
      </w:pPr>
      <w:r>
        <w:t xml:space="preserve">Stages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Quote built in CPQ from the current rate card.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Discounts applied within delegated authority; escalations routed per the Deal Desk Approval Matrix.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Contract generated from the approved MSA template; Legal reviews non-standard terms.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Order booked; Finance recognizes revenue per the Revenue Recognition Guidelines.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Calibri" w:cs="Calibri" w:eastAsia="Calibri" w:hAnsi="Calibri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Calibri" w:cs="Calibri" w:eastAsia="Calibri" w:hAnsi="Calibri"/>
      <w:b/>
      <w:bCs/>
      <w:color w:val="2E549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2026-06-14T11:39:56.169Z</dcterms:created>
  <dcterms:modified xsi:type="dcterms:W3CDTF">2026-06-14T11:39:56.169Z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