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Sales Onboarding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Enablement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05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05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Sales Hires</w:t>
            </w:r>
          </w:p>
        </w:tc>
      </w:tr>
    </w:tbl>
    <w:p>
      <w:pPr>
        <w:spacing w:after="120"/>
      </w:pPr>
      <w:r>
        <w:t xml:space="preserve">Your first 30 days. This guide orients new AEs to tools, process, and where to find authoritative answers.</w:t>
      </w:r>
    </w:p>
    <w:p>
      <w:pPr>
        <w:pStyle w:val="Heading2"/>
      </w:pPr>
      <w:r>
        <w:t xml:space="preserve">Week 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CRM and quoting tool access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Sales Playbook: Discounting and the Quote-to-Cash Process Overview.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Shadow three discovery calls.</w:t>
      </w:r>
    </w:p>
    <w:p>
      <w:pPr>
        <w:pStyle w:val="Heading2"/>
      </w:pPr>
      <w:r>
        <w:t xml:space="preserve">Where to find the truth</w:t>
      </w:r>
    </w:p>
    <w:p>
      <w:pPr>
        <w:spacing w:after="120"/>
      </w:pPr>
      <w:r>
        <w:t xml:space="preserve">Pricing and discount authority can appear in several places. When documents seem to disagree, Finance-owned policy (Deal Desk Approval Matrix, Pricing Tiers) is authoritative on commercial limits.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2026-06-14T11:39:56.150Z</dcterms:created>
  <dcterms:modified xsi:type="dcterms:W3CDTF">2026-06-14T11:39:56.150Z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