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 Playbook: Discounting &amp; Deal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Account Executives, Sales Managers</w:t>
            </w:r>
          </w:p>
        </w:tc>
      </w:tr>
    </w:tbl>
    <w:p>
      <w:pPr>
        <w:spacing w:after="120"/>
      </w:pPr>
      <w:r>
        <w:t xml:space="preserve">This playbook gives Account Executives (AEs) practical guidance on structuring deals and applying discounts to close business efficiently while protecting margin.</w:t>
      </w:r>
    </w:p>
    <w:p>
      <w:pPr>
        <w:pStyle w:val="Heading2"/>
      </w:pPr>
      <w:r>
        <w:t xml:space="preserve">Standard discount authority</w:t>
      </w:r>
    </w:p>
    <w:p>
      <w:pPr>
        <w:spacing w:after="120"/>
      </w:pPr>
      <w:r>
        <w:t xml:space="preserve">To keep deal velocity high, Account Executives are empowered to make discounting decisions without escalation within their delegated authority.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Executives may approve discounts of up to 25% off list price on their own authority, without escalation.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Discounts above 25% require Sales Manager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Discounts above 40% require VP of Sales approval.</w:t>
      </w:r>
    </w:p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Anchor on value, not price. Lead with ROI before discussing discounts.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concessions — ask for a longer term or case-study rights in exchange for a discount.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the discount rationale in the CRM opportunity notes for every deal.</w:t>
      </w:r>
    </w:p>
    <w:p>
      <w:pPr>
        <w:pStyle w:val="Heading2"/>
      </w:pPr>
      <w:r>
        <w:t xml:space="preserve">Related documents</w:t>
      </w:r>
    </w:p>
    <w:p>
      <w:pPr>
        <w:spacing w:after="120"/>
      </w:pPr>
      <w:r>
        <w:t xml:space="preserve">For tier pricing see the Pricing Tiers reference maintained by Finance. For multi-year and non-standard terms, consult the Quote-to-Cash Process Overview.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2026-06-14T11:39:56.090Z</dcterms:created>
  <dcterms:modified xsi:type="dcterms:W3CDTF">2026-06-14T11:39:56.090Z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