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Sales Territory Plan FY26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Document owner</w:t>
            </w:r>
          </w:p>
        </w:tc>
        <w:tc>
          <w:tcPr>
            <w:tcW w:type="dxa" w:w="6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Sales Operations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Version</w:t>
            </w:r>
          </w:p>
        </w:tc>
        <w:tc>
          <w:tcPr>
            <w:tcW w:type="dxa" w:w="6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1.4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Effective date</w:t>
            </w:r>
          </w:p>
        </w:tc>
        <w:tc>
          <w:tcPr>
            <w:tcW w:type="dxa" w:w="6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01 January 2026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Last reviewed</w:t>
            </w:r>
          </w:p>
        </w:tc>
        <w:tc>
          <w:tcPr>
            <w:tcW w:type="dxa" w:w="6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 March 2026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Internal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Applies to</w:t>
            </w:r>
          </w:p>
        </w:tc>
        <w:tc>
          <w:tcPr>
            <w:tcW w:type="dxa" w:w="6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Field Sales</w:t>
            </w:r>
          </w:p>
        </w:tc>
      </w:tr>
    </w:tbl>
    <w:p>
      <w:pPr>
        <w:spacing w:after="120"/>
      </w:pPr>
      <w:r>
        <w:t xml:space="preserve">Defines territory assignments and coverage model for fiscal year 2026.</w:t>
      </w:r>
    </w:p>
    <w:p>
      <w:pPr>
        <w:pStyle w:val="Heading2"/>
      </w:pPr>
      <w:r>
        <w:t xml:space="preserve">Segments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SMB: companies under 200 employees, inside sales motion.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Mid-Market: 200–2,000 employees, named-account model.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Enterprise: above 2,000 employees, strategic account teams.</w:t>
      </w:r>
    </w:p>
    <w:p>
      <w:pPr>
        <w:pStyle w:val="Heading2"/>
      </w:pPr>
      <w:r>
        <w:t xml:space="preserve">Coverage principles</w:t>
      </w:r>
    </w:p>
    <w:p>
      <w:pPr>
        <w:spacing w:after="120"/>
      </w:pPr>
      <w:r>
        <w:t xml:space="preserve">Each named account has a single primary AE. Overlay specialists support on security and compliance deals. Territory disputes are resolved by the RevOps lead.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Calibri" w:cs="Calibri" w:eastAsia="Calibri" w:hAnsi="Calibri"/>
      <w:b/>
      <w:bCs/>
      <w:color w:val="2E549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2026-06-14T11:39:56.125Z</dcterms:created>
  <dcterms:modified xsi:type="dcterms:W3CDTF">2026-06-14T11:39:56.125Z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