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Deal Desk Approval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— Deal Desk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May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May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— Controlled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revenue-impacting approvals</w:t>
            </w:r>
          </w:p>
        </w:tc>
      </w:tr>
    </w:tbl>
    <w:p>
      <w:pPr>
        <w:spacing w:after="120"/>
      </w:pPr>
      <w:r>
        <w:t xml:space="preserve">This matrix is the authoritative control for discount and commercial-term approvals across Meridian Cloud. It supersedes any conflicting approval thresholds stated in departmental playbooks.</w:t>
      </w:r>
    </w:p>
    <w:p>
      <w:pPr>
        <w:pStyle w:val="Heading2"/>
      </w:pPr>
      <w:r>
        <w:t xml:space="preserve">Discount approval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Discount off list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approver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 for approval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 – 15%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Executive (self-approve)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15% up to 30%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Desk (Finance)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business day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30% up to 45%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Desk + VP Sales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business days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45%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CFO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business days</w:t>
            </w:r>
          </w:p>
        </w:tc>
      </w:tr>
    </w:tbl>
    <w:p>
      <w:pPr>
        <w:pStyle w:val="Heading2"/>
      </w:pPr>
      <w:r>
        <w:t xml:space="preserve">Authority note</w:t>
      </w:r>
    </w:p>
    <w:p>
      <w:pPr>
        <w:spacing w:after="120"/>
      </w:pPr>
      <w:r>
        <w:t xml:space="preserve">Any discount above 15% requires Deal Desk sign-off before the quote is sent to the customer. Self-approval authority for Account Executives ends at 15%. Where a departmental playbook states a higher self-approval limit, this matrix governs.</w:t>
      </w:r>
    </w:p>
    <w:p>
      <w:pPr>
        <w:pStyle w:val="Heading2"/>
      </w:pPr>
      <w:r>
        <w:t xml:space="preserve">Other controlled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Non-standard payment terms beyond Net 30 require Deal Desk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SLAs or liability caps require Legal and Deal Desk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2026-06-14T11:39:56.180Z</dcterms:created>
  <dcterms:modified xsi:type="dcterms:W3CDTF">2026-06-14T11:39:56.180Z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